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18" w:lineRule="exact"/>
        <w:rPr>
          <w:sz w:val="24"/>
          <w:szCs w:val="24"/>
          <w:color w:val="auto"/>
        </w:rPr>
      </w:pPr>
    </w:p>
    <w:p>
      <w:pPr>
        <w:spacing w:after="0"/>
        <w:tabs>
          <w:tab w:leader="none" w:pos="5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Transition Report Pursuant to Section 13 or 15(d) of the Securities Exchange Act of 1934</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001-37437</w:t>
      </w:r>
    </w:p>
    <w:p>
      <w:pPr>
        <w:spacing w:after="0" w:line="36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0" w:lineRule="exact"/>
        <w:rPr>
          <w:sz w:val="24"/>
          <w:szCs w:val="24"/>
          <w:color w:val="auto"/>
        </w:rPr>
      </w:pPr>
    </w:p>
    <w:p>
      <w:pPr>
        <w:spacing w:after="0" w:line="208"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7120" w:type="dxa"/>
            <w:vAlign w:val="bottom"/>
          </w:tcPr>
          <w:p>
            <w:pPr>
              <w:jc w:val="center"/>
              <w:ind w:right="2390"/>
              <w:spacing w:after="0"/>
              <w:rPr>
                <w:sz w:val="20"/>
                <w:szCs w:val="20"/>
                <w:color w:val="auto"/>
              </w:rPr>
            </w:pPr>
            <w:r>
              <w:rPr>
                <w:rFonts w:ascii="Arial" w:cs="Arial" w:eastAsia="Arial" w:hAnsi="Arial"/>
                <w:sz w:val="18"/>
                <w:szCs w:val="18"/>
                <w:b w:val="1"/>
                <w:bCs w:val="1"/>
                <w:color w:val="auto"/>
                <w:w w:val="92"/>
              </w:rPr>
              <w:t>Canada</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rPr>
              <w:t>N/A</w:t>
            </w:r>
          </w:p>
        </w:tc>
      </w:tr>
      <w:tr>
        <w:trPr>
          <w:trHeight w:val="243"/>
        </w:trPr>
        <w:tc>
          <w:tcPr>
            <w:tcW w:w="7120" w:type="dxa"/>
            <w:vAlign w:val="bottom"/>
          </w:tcPr>
          <w:p>
            <w:pPr>
              <w:jc w:val="center"/>
              <w:ind w:right="239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71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Identification Number.)</w:t>
            </w:r>
          </w:p>
        </w:tc>
      </w:tr>
      <w:tr>
        <w:trPr>
          <w:trHeight w:val="454"/>
        </w:trPr>
        <w:tc>
          <w:tcPr>
            <w:tcW w:w="7120" w:type="dxa"/>
            <w:vAlign w:val="bottom"/>
          </w:tcPr>
          <w:p>
            <w:pPr>
              <w:jc w:val="center"/>
              <w:ind w:left="2790"/>
              <w:spacing w:after="0"/>
              <w:rPr>
                <w:sz w:val="20"/>
                <w:szCs w:val="20"/>
                <w:color w:val="auto"/>
              </w:rPr>
            </w:pPr>
            <w:r>
              <w:rPr>
                <w:rFonts w:ascii="Arial" w:cs="Arial" w:eastAsia="Arial" w:hAnsi="Arial"/>
                <w:sz w:val="18"/>
                <w:szCs w:val="18"/>
                <w:b w:val="1"/>
                <w:bCs w:val="1"/>
                <w:color w:val="auto"/>
                <w:w w:val="90"/>
              </w:rPr>
              <w:t>8201 E. Riverside Drive, Bldg. 4, Suite 100</w:t>
            </w:r>
          </w:p>
        </w:tc>
        <w:tc>
          <w:tcPr>
            <w:tcW w:w="1860" w:type="dxa"/>
            <w:vAlign w:val="bottom"/>
          </w:tcPr>
          <w:p>
            <w:pPr>
              <w:spacing w:after="0"/>
              <w:rPr>
                <w:sz w:val="24"/>
                <w:szCs w:val="24"/>
                <w:color w:val="auto"/>
              </w:rPr>
            </w:pPr>
          </w:p>
        </w:tc>
      </w:tr>
      <w:tr>
        <w:trPr>
          <w:trHeight w:val="216"/>
        </w:trPr>
        <w:tc>
          <w:tcPr>
            <w:tcW w:w="7120" w:type="dxa"/>
            <w:vAlign w:val="bottom"/>
          </w:tcPr>
          <w:p>
            <w:pPr>
              <w:jc w:val="center"/>
              <w:ind w:left="2770"/>
              <w:spacing w:after="0"/>
              <w:rPr>
                <w:sz w:val="20"/>
                <w:szCs w:val="20"/>
                <w:color w:val="auto"/>
              </w:rPr>
            </w:pPr>
            <w:r>
              <w:rPr>
                <w:rFonts w:ascii="Arial" w:cs="Arial" w:eastAsia="Arial" w:hAnsi="Arial"/>
                <w:sz w:val="18"/>
                <w:szCs w:val="18"/>
                <w:b w:val="1"/>
                <w:bCs w:val="1"/>
                <w:color w:val="auto"/>
                <w:w w:val="92"/>
              </w:rPr>
              <w:t>Austin, TX 78744</w:t>
            </w:r>
          </w:p>
        </w:tc>
        <w:tc>
          <w:tcPr>
            <w:tcW w:w="1860" w:type="dxa"/>
            <w:vAlign w:val="bottom"/>
          </w:tcPr>
          <w:p>
            <w:pPr>
              <w:spacing w:after="0"/>
              <w:rPr>
                <w:sz w:val="18"/>
                <w:szCs w:val="18"/>
                <w:color w:val="auto"/>
              </w:rPr>
            </w:pPr>
          </w:p>
        </w:tc>
      </w:tr>
      <w:tr>
        <w:trPr>
          <w:trHeight w:val="234"/>
        </w:trPr>
        <w:tc>
          <w:tcPr>
            <w:tcW w:w="7120" w:type="dxa"/>
            <w:vAlign w:val="bottom"/>
          </w:tcPr>
          <w:p>
            <w:pPr>
              <w:jc w:val="center"/>
              <w:ind w:left="2770"/>
              <w:spacing w:after="0"/>
              <w:rPr>
                <w:sz w:val="20"/>
                <w:szCs w:val="20"/>
                <w:color w:val="auto"/>
              </w:rPr>
            </w:pPr>
            <w:r>
              <w:rPr>
                <w:rFonts w:ascii="Arial" w:cs="Arial" w:eastAsia="Arial" w:hAnsi="Arial"/>
                <w:sz w:val="18"/>
                <w:szCs w:val="18"/>
                <w:b w:val="1"/>
                <w:bCs w:val="1"/>
                <w:color w:val="auto"/>
                <w:w w:val="89"/>
              </w:rPr>
              <w:t>(Address of principal executive offices)(Zip Code)</w:t>
            </w:r>
          </w:p>
        </w:tc>
        <w:tc>
          <w:tcPr>
            <w:tcW w:w="1860" w:type="dxa"/>
            <w:vAlign w:val="bottom"/>
          </w:tcPr>
          <w:p>
            <w:pPr>
              <w:spacing w:after="0"/>
              <w:rPr>
                <w:sz w:val="20"/>
                <w:szCs w:val="20"/>
                <w:color w:val="auto"/>
              </w:rPr>
            </w:pPr>
          </w:p>
        </w:tc>
      </w:tr>
      <w:tr>
        <w:trPr>
          <w:trHeight w:val="360"/>
        </w:trPr>
        <w:tc>
          <w:tcPr>
            <w:tcW w:w="7120" w:type="dxa"/>
            <w:vAlign w:val="bottom"/>
          </w:tcPr>
          <w:p>
            <w:pPr>
              <w:jc w:val="center"/>
              <w:ind w:left="2790"/>
              <w:spacing w:after="0"/>
              <w:rPr>
                <w:sz w:val="20"/>
                <w:szCs w:val="20"/>
                <w:color w:val="auto"/>
              </w:rPr>
            </w:pPr>
            <w:r>
              <w:rPr>
                <w:rFonts w:ascii="Arial" w:cs="Arial" w:eastAsia="Arial" w:hAnsi="Arial"/>
                <w:sz w:val="18"/>
                <w:szCs w:val="18"/>
                <w:b w:val="1"/>
                <w:bCs w:val="1"/>
                <w:color w:val="auto"/>
                <w:w w:val="90"/>
              </w:rPr>
              <w:t>Telephone Number (512) 386-2900</w:t>
            </w:r>
          </w:p>
        </w:tc>
        <w:tc>
          <w:tcPr>
            <w:tcW w:w="1860" w:type="dxa"/>
            <w:vAlign w:val="bottom"/>
          </w:tcPr>
          <w:p>
            <w:pPr>
              <w:spacing w:after="0"/>
              <w:rPr>
                <w:sz w:val="24"/>
                <w:szCs w:val="24"/>
                <w:color w:val="auto"/>
              </w:rPr>
            </w:pPr>
          </w:p>
        </w:tc>
      </w:tr>
      <w:tr>
        <w:trPr>
          <w:trHeight w:val="234"/>
        </w:trPr>
        <w:tc>
          <w:tcPr>
            <w:tcW w:w="7120" w:type="dxa"/>
            <w:vAlign w:val="bottom"/>
          </w:tcPr>
          <w:p>
            <w:pPr>
              <w:jc w:val="center"/>
              <w:ind w:left="279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860" w:type="dxa"/>
            <w:vAlign w:val="bottom"/>
          </w:tcPr>
          <w:p>
            <w:pPr>
              <w:spacing w:after="0"/>
              <w:rPr>
                <w:sz w:val="20"/>
                <w:szCs w:val="20"/>
                <w:color w:val="auto"/>
              </w:rPr>
            </w:pPr>
          </w:p>
        </w:tc>
      </w:tr>
    </w:tbl>
    <w:p>
      <w:pPr>
        <w:spacing w:after="0" w:line="6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3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44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636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44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8"/>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As of November 10, 2015, the registrant had 32,184,465 shares of common stock outstanding.</w:t>
            </w:r>
          </w:p>
        </w:tc>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40"/>
          </w:cols>
          <w:pgMar w:left="240" w:top="638"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00" w:type="dxa"/>
            <w:vAlign w:val="bottom"/>
            <w:gridSpan w:val="12"/>
          </w:tcPr>
          <w:p>
            <w:pPr>
              <w:jc w:val="center"/>
              <w:ind w:right="2580"/>
              <w:spacing w:after="0"/>
              <w:rPr>
                <w:sz w:val="20"/>
                <w:szCs w:val="20"/>
                <w:color w:val="auto"/>
              </w:rPr>
            </w:pPr>
            <w:r>
              <w:rPr>
                <w:rFonts w:ascii="Arial" w:cs="Arial" w:eastAsia="Arial" w:hAnsi="Arial"/>
                <w:sz w:val="18"/>
                <w:szCs w:val="18"/>
                <w:b w:val="1"/>
                <w:bCs w:val="1"/>
                <w:color w:val="auto"/>
              </w:rPr>
              <w:t>PART I—FINANCIAL INFORMATION</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740" w:type="dxa"/>
            <w:vAlign w:val="bottom"/>
            <w:gridSpan w:val="2"/>
          </w:tcPr>
          <w:p>
            <w:pPr>
              <w:spacing w:after="0"/>
              <w:rPr>
                <w:sz w:val="24"/>
                <w:szCs w:val="24"/>
                <w:color w:val="auto"/>
              </w:rPr>
            </w:pPr>
          </w:p>
        </w:tc>
        <w:tc>
          <w:tcPr>
            <w:tcW w:w="288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3160" w:type="dxa"/>
            <w:vAlign w:val="bottom"/>
            <w:tcBorders>
              <w:top w:val="single" w:sz="8" w:color="auto"/>
            </w:tcBorders>
            <w:gridSpan w:val="6"/>
          </w:tcPr>
          <w:p>
            <w:pPr>
              <w:spacing w:after="0"/>
              <w:rPr>
                <w:sz w:val="24"/>
                <w:szCs w:val="24"/>
                <w:color w:val="auto"/>
              </w:rPr>
            </w:pPr>
          </w:p>
        </w:tc>
        <w:tc>
          <w:tcPr>
            <w:tcW w:w="2960" w:type="dxa"/>
            <w:vAlign w:val="bottom"/>
            <w:gridSpan w:val="5"/>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20" w:type="dxa"/>
            <w:vAlign w:val="bottom"/>
            <w:gridSpan w:val="1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as of September 30, 2015 (unaudited) and December 31, 2014</w:t>
              </w:r>
            </w:hyperlink>
          </w:p>
        </w:tc>
        <w:tc>
          <w:tcPr>
            <w:tcW w:w="2380" w:type="dxa"/>
            <w:vAlign w:val="bottom"/>
            <w:gridSpan w:val="3"/>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8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and Nine Months Ended September 30, 2015 (unaudited) and 2014</w:t>
              </w:r>
            </w:hyperlink>
          </w:p>
        </w:tc>
        <w:tc>
          <w:tcPr>
            <w:tcW w:w="320" w:type="dxa"/>
            <w:vAlign w:val="bottom"/>
            <w:gridSpan w:val="2"/>
          </w:tcPr>
          <w:p>
            <w:pPr>
              <w:spacing w:after="0"/>
              <w:rPr>
                <w:sz w:val="24"/>
                <w:szCs w:val="24"/>
                <w:color w:val="auto"/>
              </w:rPr>
            </w:pPr>
          </w:p>
        </w:tc>
        <w:tc>
          <w:tcPr>
            <w:tcW w:w="1160" w:type="dxa"/>
            <w:vAlign w:val="bottom"/>
            <w:gridSpan w:val="3"/>
            <w:vMerge w:val="restart"/>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gridSpan w:val="2"/>
            <w:vMerge w:val="restart"/>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w:t>
              </w:r>
            </w:hyperlink>
          </w:p>
        </w:tc>
        <w:tc>
          <w:tcPr>
            <w:tcW w:w="8160" w:type="dxa"/>
            <w:vAlign w:val="bottom"/>
            <w:gridSpan w:val="20"/>
            <w:vMerge w:val="restart"/>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Borders>
              <w:bottom w:val="single" w:sz="8" w:color="0000EE"/>
            </w:tcBorders>
            <w:gridSpan w:val="2"/>
            <w:vMerge w:val="continue"/>
          </w:tcPr>
          <w:p>
            <w:pPr>
              <w:spacing w:after="0"/>
              <w:rPr>
                <w:sz w:val="7"/>
                <w:szCs w:val="7"/>
                <w:color w:val="auto"/>
              </w:rPr>
            </w:pPr>
          </w:p>
        </w:tc>
        <w:tc>
          <w:tcPr>
            <w:tcW w:w="8160" w:type="dxa"/>
            <w:vAlign w:val="bottom"/>
            <w:gridSpan w:val="20"/>
            <w:vMerge w:val="continue"/>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Loss for the Three and Nine Months Ended September 30, 2015 (unaudited) and</w:t>
              </w:r>
            </w:hyperlink>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gridSpan w:val="5"/>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2014 (unaudited)</w:t>
              </w:r>
            </w:hyperlink>
          </w:p>
        </w:tc>
        <w:tc>
          <w:tcPr>
            <w:tcW w:w="7760" w:type="dxa"/>
            <w:vAlign w:val="bottom"/>
            <w:gridSpan w:val="17"/>
          </w:tcPr>
          <w:p>
            <w:pPr>
              <w:spacing w:after="0"/>
              <w:rPr>
                <w:sz w:val="17"/>
                <w:szCs w:val="17"/>
                <w:color w:val="auto"/>
              </w:rPr>
            </w:pPr>
          </w:p>
        </w:tc>
        <w:tc>
          <w:tcPr>
            <w:tcW w:w="116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40" w:type="dxa"/>
            <w:vAlign w:val="bottom"/>
            <w:gridSpan w:val="21"/>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for the Nine Months Ended September 30, 2015 (unaudited) and 2014 (unaudited)</w:t>
              </w:r>
            </w:hyperlink>
          </w:p>
        </w:tc>
        <w:tc>
          <w:tcPr>
            <w:tcW w:w="160" w:type="dxa"/>
            <w:vAlign w:val="bottom"/>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4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60" w:type="dxa"/>
            <w:vAlign w:val="bottom"/>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740" w:type="dxa"/>
            <w:vAlign w:val="bottom"/>
            <w:gridSpan w:val="2"/>
          </w:tcPr>
          <w:p>
            <w:pPr>
              <w:spacing w:after="0"/>
              <w:rPr>
                <w:sz w:val="24"/>
                <w:szCs w:val="24"/>
                <w:color w:val="auto"/>
              </w:rPr>
            </w:pPr>
          </w:p>
        </w:tc>
        <w:tc>
          <w:tcPr>
            <w:tcW w:w="9000" w:type="dxa"/>
            <w:vAlign w:val="bottom"/>
            <w:gridSpan w:val="2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16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740" w:type="dxa"/>
            <w:vAlign w:val="bottom"/>
            <w:gridSpan w:val="2"/>
          </w:tcPr>
          <w:p>
            <w:pPr>
              <w:spacing w:after="0"/>
              <w:rPr>
                <w:sz w:val="24"/>
                <w:szCs w:val="24"/>
                <w:color w:val="auto"/>
              </w:rPr>
            </w:pP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2540" w:type="dxa"/>
            <w:vAlign w:val="bottom"/>
            <w:gridSpan w:val="4"/>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c>
          <w:tcPr>
            <w:tcW w:w="0" w:type="dxa"/>
            <w:vAlign w:val="bottom"/>
          </w:tcPr>
          <w:p>
            <w:pPr>
              <w:spacing w:after="0"/>
              <w:rPr>
                <w:sz w:val="1"/>
                <w:szCs w:val="1"/>
                <w:color w:val="auto"/>
              </w:rPr>
            </w:pPr>
          </w:p>
        </w:tc>
      </w:tr>
      <w:tr>
        <w:trPr>
          <w:trHeight w:val="412"/>
        </w:trPr>
        <w:tc>
          <w:tcPr>
            <w:tcW w:w="126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900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16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gridSpan w:val="10"/>
          </w:tcPr>
          <w:p>
            <w:pPr>
              <w:jc w:val="center"/>
              <w:ind w:right="3120"/>
              <w:spacing w:after="0"/>
              <w:rPr>
                <w:sz w:val="20"/>
                <w:szCs w:val="20"/>
                <w:color w:val="auto"/>
              </w:rPr>
            </w:pPr>
            <w:r>
              <w:rPr>
                <w:rFonts w:ascii="Arial" w:cs="Arial" w:eastAsia="Arial" w:hAnsi="Arial"/>
                <w:sz w:val="18"/>
                <w:szCs w:val="18"/>
                <w:b w:val="1"/>
                <w:bCs w:val="1"/>
                <w:color w:val="auto"/>
              </w:rPr>
              <w:t>PART II—OTHER INFORMATION</w:t>
            </w:r>
          </w:p>
        </w:tc>
        <w:tc>
          <w:tcPr>
            <w:tcW w:w="9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1.</w:t>
              </w:r>
            </w:hyperlink>
          </w:p>
        </w:tc>
        <w:tc>
          <w:tcPr>
            <w:tcW w:w="740" w:type="dxa"/>
            <w:vAlign w:val="bottom"/>
            <w:gridSpan w:val="2"/>
          </w:tcPr>
          <w:p>
            <w:pPr>
              <w:spacing w:after="0"/>
              <w:rPr>
                <w:sz w:val="24"/>
                <w:szCs w:val="24"/>
                <w:color w:val="auto"/>
              </w:rPr>
            </w:pP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1680" w:type="dxa"/>
            <w:vAlign w:val="bottom"/>
            <w:gridSpan w:val="5"/>
          </w:tcPr>
          <w:p>
            <w:pPr>
              <w:spacing w:after="0"/>
              <w:rPr>
                <w:sz w:val="24"/>
                <w:szCs w:val="24"/>
                <w:color w:val="auto"/>
              </w:rPr>
            </w:pPr>
          </w:p>
        </w:tc>
        <w:tc>
          <w:tcPr>
            <w:tcW w:w="2860" w:type="dxa"/>
            <w:vAlign w:val="bottom"/>
            <w:tcBorders>
              <w:top w:val="single" w:sz="8" w:color="auto"/>
            </w:tcBorders>
            <w:gridSpan w:val="4"/>
          </w:tcPr>
          <w:p>
            <w:pPr>
              <w:spacing w:after="0"/>
              <w:rPr>
                <w:sz w:val="24"/>
                <w:szCs w:val="24"/>
                <w:color w:val="auto"/>
              </w:rPr>
            </w:pPr>
          </w:p>
        </w:tc>
        <w:tc>
          <w:tcPr>
            <w:tcW w:w="3120" w:type="dxa"/>
            <w:vAlign w:val="bottom"/>
            <w:gridSpan w:val="6"/>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412"/>
        </w:trPr>
        <w:tc>
          <w:tcPr>
            <w:tcW w:w="126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9000" w:type="dxa"/>
            <w:vAlign w:val="bottom"/>
            <w:gridSpan w:val="2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16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Unregistered Sales of Equity Securities and Use of Proceeds</w:t>
              </w:r>
            </w:hyperlink>
          </w:p>
        </w:tc>
        <w:tc>
          <w:tcPr>
            <w:tcW w:w="464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740" w:type="dxa"/>
            <w:vAlign w:val="bottom"/>
            <w:gridSpan w:val="2"/>
          </w:tcPr>
          <w:p>
            <w:pPr>
              <w:spacing w:after="0"/>
              <w:rPr>
                <w:sz w:val="24"/>
                <w:szCs w:val="24"/>
                <w:color w:val="auto"/>
              </w:rPr>
            </w:pPr>
          </w:p>
        </w:tc>
        <w:tc>
          <w:tcPr>
            <w:tcW w:w="9000" w:type="dxa"/>
            <w:vAlign w:val="bottom"/>
            <w:gridSpan w:val="2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116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740" w:type="dxa"/>
            <w:vAlign w:val="bottom"/>
            <w:gridSpan w:val="2"/>
          </w:tcPr>
          <w:p>
            <w:pPr>
              <w:spacing w:after="0"/>
              <w:rPr>
                <w:sz w:val="24"/>
                <w:szCs w:val="24"/>
                <w:color w:val="auto"/>
              </w:rPr>
            </w:pP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6680" w:type="dxa"/>
            <w:vAlign w:val="bottom"/>
            <w:gridSpan w:val="13"/>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5.</w:t>
              </w:r>
            </w:hyperlink>
          </w:p>
        </w:tc>
        <w:tc>
          <w:tcPr>
            <w:tcW w:w="740" w:type="dxa"/>
            <w:vAlign w:val="bottom"/>
            <w:gridSpan w:val="2"/>
          </w:tcPr>
          <w:p>
            <w:pPr>
              <w:spacing w:after="0"/>
              <w:rPr>
                <w:sz w:val="24"/>
                <w:szCs w:val="24"/>
                <w:color w:val="auto"/>
              </w:rPr>
            </w:pPr>
          </w:p>
        </w:tc>
        <w:tc>
          <w:tcPr>
            <w:tcW w:w="1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Other Information</w:t>
              </w:r>
            </w:hyperlink>
          </w:p>
        </w:tc>
        <w:tc>
          <w:tcPr>
            <w:tcW w:w="7680" w:type="dxa"/>
            <w:vAlign w:val="bottom"/>
            <w:gridSpan w:val="16"/>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740" w:type="dxa"/>
            <w:vAlign w:val="bottom"/>
            <w:gridSpan w:val="2"/>
          </w:tcPr>
          <w:p>
            <w:pPr>
              <w:spacing w:after="0"/>
              <w:rPr>
                <w:sz w:val="24"/>
                <w:szCs w:val="24"/>
                <w:color w:val="auto"/>
              </w:rPr>
            </w:pPr>
          </w:p>
        </w:tc>
        <w:tc>
          <w:tcPr>
            <w:tcW w:w="900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116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80" w:type="dxa"/>
            <w:vAlign w:val="bottom"/>
            <w:gridSpan w:val="1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80" w:type="dxa"/>
            <w:vAlign w:val="bottom"/>
            <w:gridSpan w:val="1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 INDEX</w:t>
              </w:r>
            </w:hyperlink>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Borders>
              <w:top w:val="single" w:sz="8" w:color="0000EE"/>
            </w:tcBorders>
            <w:gridSpan w:val="6"/>
          </w:tcPr>
          <w:p>
            <w:pPr>
              <w:spacing w:after="0"/>
              <w:rPr>
                <w:sz w:val="24"/>
                <w:szCs w:val="24"/>
                <w:color w:val="auto"/>
              </w:rPr>
            </w:pPr>
          </w:p>
        </w:tc>
        <w:tc>
          <w:tcPr>
            <w:tcW w:w="4560" w:type="dxa"/>
            <w:vAlign w:val="bottom"/>
            <w:gridSpan w:val="10"/>
          </w:tcPr>
          <w:p>
            <w:pPr>
              <w:jc w:val="center"/>
              <w:ind w:left="1610"/>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360" w:right="460"/>
        <w:spacing w:after="0" w:line="257" w:lineRule="auto"/>
        <w:rPr>
          <w:sz w:val="20"/>
          <w:szCs w:val="20"/>
          <w:color w:val="auto"/>
        </w:rPr>
      </w:pPr>
      <w:r>
        <w:rPr>
          <w:rFonts w:ascii="Arial" w:cs="Arial" w:eastAsia="Arial" w:hAnsi="Arial"/>
          <w:sz w:val="18"/>
          <w:szCs w:val="18"/>
          <w:color w:val="auto"/>
        </w:rPr>
        <w:t>Prepaid expenses and other current assets Deferred offering costs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construction in progress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Arial" w:cs="Arial" w:eastAsia="Arial" w:hAnsi="Arial"/>
          <w:sz w:val="18"/>
          <w:szCs w:val="18"/>
          <w:b w:val="1"/>
          <w:bCs w:val="1"/>
          <w:color w:val="auto"/>
        </w:rPr>
        <w:t>XBiotech Inc.</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07" w:lineRule="exact"/>
        <w:rPr>
          <w:sz w:val="20"/>
          <w:szCs w:val="20"/>
          <w:color w:val="auto"/>
        </w:rPr>
      </w:pPr>
    </w:p>
    <w:tbl>
      <w:tblPr>
        <w:tblLayout w:type="fixed"/>
        <w:tblInd w:w="3580" w:type="dxa"/>
        <w:tblCellMar>
          <w:top w:w="0" w:type="dxa"/>
          <w:left w:w="0" w:type="dxa"/>
          <w:bottom w:w="0" w:type="dxa"/>
          <w:right w:w="0" w:type="dxa"/>
        </w:tblCellMar>
      </w:tblPr>
      <w:tr>
        <w:trPr>
          <w:trHeight w:val="216"/>
        </w:trPr>
        <w:tc>
          <w:tcPr>
            <w:tcW w:w="17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 2015</w:t>
            </w:r>
          </w:p>
        </w:tc>
        <w:tc>
          <w:tcPr>
            <w:tcW w:w="16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681"/>
        </w:trPr>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105,680</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57,329</w:t>
            </w:r>
          </w:p>
        </w:tc>
      </w:tr>
      <w:tr>
        <w:trPr>
          <w:trHeight w:val="230"/>
        </w:trPr>
        <w:tc>
          <w:tcPr>
            <w:tcW w:w="2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411</w:t>
            </w:r>
          </w:p>
        </w:tc>
      </w:tr>
      <w:tr>
        <w:trPr>
          <w:trHeight w:val="230"/>
        </w:trPr>
        <w:tc>
          <w:tcPr>
            <w:tcW w:w="2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195"/>
        </w:trPr>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107,587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58,064</w:t>
            </w:r>
          </w:p>
        </w:tc>
      </w:tr>
      <w:tr>
        <w:trPr>
          <w:trHeight w:val="230"/>
        </w:trPr>
        <w:tc>
          <w:tcPr>
            <w:tcW w:w="2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3,227</w:t>
            </w:r>
          </w:p>
        </w:tc>
      </w:tr>
      <w:tr>
        <w:trPr>
          <w:trHeight w:val="230"/>
        </w:trPr>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6,606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886</w:t>
            </w:r>
          </w:p>
        </w:tc>
      </w:tr>
      <w:tr>
        <w:trPr>
          <w:trHeight w:val="45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119,047</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62,177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-1491615</wp:posOffset>
            </wp:positionV>
            <wp:extent cx="7246620" cy="163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-1174115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-899795</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-608330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-325120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-16510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880"/>
          </w:cols>
          <w:pgMar w:left="240" w:top="472" w:right="239" w:bottom="1440" w:gutter="0" w:footer="0" w:header="0"/>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3,964</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43"/>
        </w:trPr>
        <w:tc>
          <w:tcPr>
            <w:tcW w:w="804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w w:val="90"/>
              </w:rPr>
              <w:t>Common stock, no par value, unlimited shares authorized, 32,052,965 and 27,546,632 shares outstanding</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rPr>
              <w:t>at September 30, 2015 and December 31, 2014, respectively</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232,850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(118,762)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114,077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119,047</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62,177</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8040" w:type="dxa"/>
            <w:vAlign w:val="bottom"/>
            <w:gridSpan w:val="2"/>
          </w:tcPr>
          <w:p>
            <w:pPr>
              <w:jc w:val="right"/>
              <w:ind w:right="219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type w:val="continuous"/>
        </w:sectPr>
      </w:pPr>
    </w:p>
    <w:bookmarkStart w:id="4" w:name="page5"/>
    <w:bookmarkEnd w:id="4"/>
    <w:p>
      <w:pPr>
        <w:ind w:left="5180"/>
        <w:spacing w:after="0"/>
        <w:rPr>
          <w:sz w:val="20"/>
          <w:szCs w:val="20"/>
          <w:color w:val="auto"/>
        </w:rPr>
      </w:pPr>
      <w:r>
        <w:rPr>
          <w:rFonts w:ascii="Arial" w:cs="Arial" w:eastAsia="Arial" w:hAnsi="Arial"/>
          <w:sz w:val="18"/>
          <w:szCs w:val="18"/>
          <w:b w:val="1"/>
          <w:bCs w:val="1"/>
          <w:color w:val="auto"/>
        </w:rPr>
        <w:t>XBiotech Inc.</w:t>
      </w:r>
    </w:p>
    <w:p>
      <w:pPr>
        <w:spacing w:after="0" w:line="1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6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26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(unaudited)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(unaudited)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9,731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4,341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20,897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9,937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2,639</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4,542</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6,980</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25,439</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15,389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(15,389)</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exchange income (loss)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(loss)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(10,736)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(25,594)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loss per share—basic and diluted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32,050,565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24,116,917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30,342,741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23,873,486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 w:name="page6"/>
    <w:bookmarkEnd w:id="5"/>
    <w:p>
      <w:pPr>
        <w:ind w:left="5180"/>
        <w:spacing w:after="0"/>
        <w:rPr>
          <w:sz w:val="20"/>
          <w:szCs w:val="20"/>
          <w:color w:val="auto"/>
        </w:rPr>
      </w:pPr>
      <w:r>
        <w:rPr>
          <w:rFonts w:ascii="Arial" w:cs="Arial" w:eastAsia="Arial" w:hAnsi="Arial"/>
          <w:sz w:val="18"/>
          <w:szCs w:val="18"/>
          <w:b w:val="1"/>
          <w:bCs w:val="1"/>
          <w:color w:val="auto"/>
        </w:rPr>
        <w:t>XBiotech Inc.</w:t>
      </w:r>
    </w:p>
    <w:p>
      <w:pPr>
        <w:spacing w:after="0" w:line="1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(10,813)</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 w:name="page7"/>
    <w:bookmarkEnd w:id="6"/>
    <w:p>
      <w:pPr>
        <w:ind w:left="5180"/>
        <w:spacing w:after="0"/>
        <w:rPr>
          <w:sz w:val="20"/>
          <w:szCs w:val="20"/>
          <w:color w:val="auto"/>
        </w:rPr>
      </w:pPr>
      <w:r>
        <w:rPr>
          <w:rFonts w:ascii="Arial" w:cs="Arial" w:eastAsia="Arial" w:hAnsi="Arial"/>
          <w:sz w:val="18"/>
          <w:szCs w:val="18"/>
          <w:b w:val="1"/>
          <w:bCs w:val="1"/>
          <w:color w:val="auto"/>
        </w:rPr>
        <w:t>XBiotech Inc.</w:t>
      </w:r>
    </w:p>
    <w:p>
      <w:pPr>
        <w:spacing w:after="0" w:line="12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(unaudited)</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loss</w:t>
            </w:r>
          </w:p>
        </w:tc>
        <w:tc>
          <w:tcPr>
            <w:tcW w:w="2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(25,594)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expenses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Deferred rent</w:t>
            </w:r>
          </w:p>
        </w:tc>
        <w:tc>
          <w:tcPr>
            <w:tcW w:w="2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Expenditures on building construction</w:t>
            </w:r>
          </w:p>
        </w:tc>
        <w:tc>
          <w:tcPr>
            <w:tcW w:w="2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Initial Public Offering</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70,558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Issuance of common stock and warrants, net</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Collection of stock subscription receivable</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77,468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2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48,351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57,329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6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105,680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2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gridSpan w:val="2"/>
            <w:vMerge w:val="continue"/>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60" w:type="dxa"/>
            <w:vAlign w:val="bottom"/>
          </w:tcPr>
          <w:p>
            <w:pPr>
              <w:jc w:val="right"/>
              <w:ind w:right="227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440" w:type="dxa"/>
            <w:vAlign w:val="bottom"/>
            <w:shd w:val="clear" w:color="auto" w:fill="000000"/>
          </w:tcPr>
          <w:p>
            <w:pPr>
              <w:spacing w:after="0"/>
              <w:rPr>
                <w:sz w:val="5"/>
                <w:szCs w:val="5"/>
                <w:color w:val="auto"/>
              </w:rPr>
            </w:pPr>
          </w:p>
        </w:tc>
        <w:tc>
          <w:tcPr>
            <w:tcW w:w="26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right="8320" w:firstLine="8"/>
        <w:spacing w:after="0" w:line="378" w:lineRule="auto"/>
        <w:tabs>
          <w:tab w:leader="none" w:pos="70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rPr>
          <w:sz w:val="20"/>
          <w:szCs w:val="20"/>
          <w:color w:val="auto"/>
        </w:rPr>
      </w:pPr>
      <w:r>
        <w:rPr>
          <w:rFonts w:ascii="Arial" w:cs="Arial" w:eastAsia="Arial" w:hAnsi="Arial"/>
          <w:sz w:val="16"/>
          <w:szCs w:val="16"/>
          <w:color w:val="auto"/>
        </w:rPr>
        <w:t>These consolidated financial statements have been prepared in conformity with accounting principles generally accepted in the United States, or US GAAP.</w:t>
      </w:r>
    </w:p>
    <w:p>
      <w:pPr>
        <w:spacing w:after="0" w:line="24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Company’s opinion, the accompanying interim unaudited consolidated financial statements have been prepared on the same basis as the audited consolidated financial statements and include all adjustments, consisting of normal, recurring adjustments, necessary for a fair presentation. Certain information and disclosures normally included in the notes to the annual consolidated financial statements prepared in accordance with GAAP have been omitted from these interim unaudited consolidated financial statements pursuant to the rules and regulations of the SEC. Accordingly, these interim unaudited consolidated financial statements should be read in conjunction with the consolidated financial statements and the accompanying notes for fiscal year ended December 31, 2014, which are included in the Company’s Registration Statement on Form S-1, filed with the SEC on April 14, 2015. The results of operations for the three and nine months ended September 30, 2015, are not necessarily indicative of the results to be expected for the year ending December 31, 2015, or for any other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make estimates and assumptions that affect the reported values of amounts in the financial statements and accompanying notes. Actual results could differ from those estimates.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Prior to its initial public offering on April 15, 2015, the Company utilized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Nonrefundable advance payments for goods or services to be received in the future for use in research and development activities are deferred and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capitalized amounts are expensed as the related goods are delivered or the services are performed.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makes estimates and judgments in determining the need for a provision for income taxes, including the estimation of its taxable income or loss for the full fiscal year. The Company has accumulated significant deferred tax assets that reflect the tax effects of net operating losses and tax credit carryovers and temporary differences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 The Company may in the future determine that certain deferred tax assets will likely be realized, in which case the Company will reduce its valuation allowance in the period in which such determination is made. If the valuation allowance is reduced, the Company may recognize a benefit from income taxes in its statement of operations in that period.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The Company accounts for its share-based compensation awards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life of the option and the expected volatility of the common stock consistent with the expected life of the option, risk-free interest rates and expected dividend yields of the common stock. For awards subject to service-based vesting conditions, the Company recognizes share-based compensation expense, equal to the grant date fair value of stock options, on a straight-line basis over the requisite service period.</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Share-based compensation expense recognized for the three months and nine months ended September 30, 2015 and 2014 was included in the following line items on the Consolidated Statements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gridSpan w:val="4"/>
          </w:tcPr>
          <w:p>
            <w:pPr>
              <w:jc w:val="right"/>
              <w:ind w:right="205"/>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20" w:type="dxa"/>
            <w:vAlign w:val="bottom"/>
            <w:gridSpan w:val="3"/>
          </w:tcPr>
          <w:p>
            <w:pPr>
              <w:jc w:val="right"/>
              <w:ind w:right="485"/>
              <w:spacing w:after="0"/>
              <w:rPr>
                <w:sz w:val="20"/>
                <w:szCs w:val="20"/>
                <w:color w:val="auto"/>
              </w:rPr>
            </w:pPr>
            <w:r>
              <w:rPr>
                <w:rFonts w:ascii="Arial" w:cs="Arial" w:eastAsia="Arial" w:hAnsi="Arial"/>
                <w:sz w:val="18"/>
                <w:szCs w:val="18"/>
                <w:b w:val="1"/>
                <w:bCs w:val="1"/>
                <w:color w:val="auto"/>
                <w:w w:val="92"/>
              </w:rPr>
              <w:t>September 30,</w:t>
            </w: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57"/>
        </w:trPr>
        <w:tc>
          <w:tcPr>
            <w:tcW w:w="3820" w:type="dxa"/>
            <w:vAlign w:val="bottom"/>
          </w:tcPr>
          <w:p>
            <w:pPr>
              <w:spacing w:after="0"/>
              <w:rPr>
                <w:sz w:val="22"/>
                <w:szCs w:val="22"/>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640" w:type="dxa"/>
            <w:vAlign w:val="bottom"/>
          </w:tcPr>
          <w:p>
            <w:pPr>
              <w:spacing w:after="0"/>
              <w:rPr>
                <w:sz w:val="22"/>
                <w:szCs w:val="22"/>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701</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2,269</w:t>
            </w:r>
          </w:p>
        </w:tc>
        <w:tc>
          <w:tcPr>
            <w:tcW w:w="4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1,677</w:t>
            </w:r>
          </w:p>
        </w:tc>
        <w:tc>
          <w:tcPr>
            <w:tcW w:w="6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2,810</w:t>
            </w:r>
          </w:p>
        </w:tc>
      </w:tr>
      <w:tr>
        <w:trPr>
          <w:trHeight w:val="230"/>
        </w:trPr>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1,678</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2,162</w:t>
            </w:r>
          </w:p>
        </w:tc>
      </w:tr>
      <w:tr>
        <w:trPr>
          <w:trHeight w:val="223"/>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8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2,524</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3,355</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4,972</w:t>
            </w:r>
          </w:p>
        </w:tc>
      </w:tr>
      <w:tr>
        <w:trPr>
          <w:trHeight w:val="20"/>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related tax benefits were recognized for the three months and nine months ended September 30, 2015 and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Company considers highly liquid investments with a maturity of 90 days or less when purchased to be cash equivalents. Cash and cash equivalents consisted primarily of cash on deposit in U.S., German, Swiss and Canadian banks. Cash and cash equivalents are stated at cost which approximates fair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data (observable inputs) and the Company’s own assumptions (unobservable inputs). The hierarchy consists of three levels:</w:t>
      </w:r>
    </w:p>
    <w:p>
      <w:pPr>
        <w:spacing w:after="0" w:line="73" w:lineRule="exact"/>
        <w:rPr>
          <w:sz w:val="20"/>
          <w:szCs w:val="20"/>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117" w:lineRule="exact"/>
        <w:rPr>
          <w:rFonts w:ascii="Arial" w:cs="Arial" w:eastAsia="Arial" w:hAnsi="Arial"/>
          <w:sz w:val="18"/>
          <w:szCs w:val="18"/>
          <w:color w:val="auto"/>
        </w:rPr>
      </w:pPr>
    </w:p>
    <w:p>
      <w:pPr>
        <w:ind w:left="880" w:right="52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62" w:lineRule="exact"/>
        <w:rPr>
          <w:rFonts w:ascii="Arial" w:cs="Arial" w:eastAsia="Arial" w:hAnsi="Arial"/>
          <w:sz w:val="18"/>
          <w:szCs w:val="18"/>
          <w:color w:val="auto"/>
        </w:rPr>
      </w:pPr>
    </w:p>
    <w:p>
      <w:pPr>
        <w:ind w:left="880" w:right="16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At September 30, 2015 and December 31, 2014, the Company did not have any assets or liabilities that were remeasured at fair value on a recurring basis. The carrying amounts reflected in the balance sheets for cash and cash equivalents, prepaid expenses and other current assets, accounts payable, and accrued expenses approximate their fair values at September 30, 2015 and December 31, 2014, due to their short-term nature.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Property and equipment, which consists of land, furniture and fixtures, computers and office equipment, scientific equipment, leasehold improvements and vehicles are stated at cost and depreciated over the estimated useful lives of the assets, with the exception of land which is not depreciated, using the straight line method. The useful lives are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 Furniture and fixtures (years)</w:t>
            </w:r>
          </w:p>
        </w:tc>
        <w:tc>
          <w:tcPr>
            <w:tcW w:w="4360" w:type="dxa"/>
            <w:vAlign w:val="bottom"/>
          </w:tcPr>
          <w:p>
            <w:pPr>
              <w:ind w:left="600"/>
              <w:spacing w:after="0"/>
              <w:rPr>
                <w:sz w:val="20"/>
                <w:szCs w:val="20"/>
                <w:color w:val="auto"/>
              </w:rPr>
            </w:pPr>
            <w:r>
              <w:rPr>
                <w:rFonts w:ascii="Arial" w:cs="Arial" w:eastAsia="Arial" w:hAnsi="Arial"/>
                <w:sz w:val="18"/>
                <w:szCs w:val="18"/>
                <w:color w:val="auto"/>
              </w:rPr>
              <w:t>7</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 Office equipment (years)</w:t>
            </w:r>
          </w:p>
        </w:tc>
        <w:tc>
          <w:tcPr>
            <w:tcW w:w="4360" w:type="dxa"/>
            <w:vAlign w:val="bottom"/>
          </w:tcPr>
          <w:p>
            <w:pPr>
              <w:ind w:left="600"/>
              <w:spacing w:after="0"/>
              <w:rPr>
                <w:sz w:val="20"/>
                <w:szCs w:val="20"/>
                <w:color w:val="auto"/>
              </w:rPr>
            </w:pPr>
            <w:r>
              <w:rPr>
                <w:rFonts w:ascii="Arial" w:cs="Arial" w:eastAsia="Arial" w:hAnsi="Arial"/>
                <w:sz w:val="18"/>
                <w:szCs w:val="18"/>
                <w:color w:val="auto"/>
              </w:rPr>
              <w:t>5</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 Leasehold improvements</w:t>
            </w:r>
          </w:p>
        </w:tc>
        <w:tc>
          <w:tcPr>
            <w:tcW w:w="4360" w:type="dxa"/>
            <w:vAlign w:val="bottom"/>
          </w:tcPr>
          <w:p>
            <w:pPr>
              <w:ind w:left="600"/>
              <w:spacing w:after="0"/>
              <w:rPr>
                <w:sz w:val="20"/>
                <w:szCs w:val="20"/>
                <w:color w:val="auto"/>
              </w:rPr>
            </w:pPr>
            <w:r>
              <w:rPr>
                <w:rFonts w:ascii="Arial" w:cs="Arial" w:eastAsia="Arial" w:hAnsi="Arial"/>
                <w:sz w:val="18"/>
                <w:szCs w:val="18"/>
                <w:color w:val="auto"/>
                <w:w w:val="90"/>
              </w:rPr>
              <w:t>Shorter of asset’s useful life or remaining lease term</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 Scientific equipment (years)</w:t>
            </w:r>
          </w:p>
        </w:tc>
        <w:tc>
          <w:tcPr>
            <w:tcW w:w="4360" w:type="dxa"/>
            <w:vAlign w:val="bottom"/>
          </w:tcPr>
          <w:p>
            <w:pPr>
              <w:ind w:left="600"/>
              <w:spacing w:after="0"/>
              <w:rPr>
                <w:sz w:val="20"/>
                <w:szCs w:val="20"/>
                <w:color w:val="auto"/>
              </w:rPr>
            </w:pPr>
            <w:r>
              <w:rPr>
                <w:rFonts w:ascii="Arial" w:cs="Arial" w:eastAsia="Arial" w:hAnsi="Arial"/>
                <w:sz w:val="18"/>
                <w:szCs w:val="18"/>
                <w:color w:val="auto"/>
              </w:rPr>
              <w:t>5</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 Vehicles (years)</w:t>
            </w:r>
          </w:p>
        </w:tc>
        <w:tc>
          <w:tcPr>
            <w:tcW w:w="4360" w:type="dxa"/>
            <w:vAlign w:val="bottom"/>
          </w:tcPr>
          <w:p>
            <w:pPr>
              <w:ind w:left="60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Construction in Progress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Building construction in progress consists of the accumulated expenditures to build the new XBiotech manufacturing facility located in Austin, Texas, which includes the cost for land cleaning, architecture design, engineering services, city permits, installation of utilities, construction materials and labor and construction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Potential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September 30, 2015.</w:t>
      </w: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796"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In June 2014 the Financial Accounting Standards Board (“FASB”) issued Accounting Standards Update 2014-10, </w:t>
      </w:r>
      <w:r>
        <w:rPr>
          <w:rFonts w:ascii="Arial" w:cs="Arial" w:eastAsia="Arial" w:hAnsi="Arial"/>
          <w:sz w:val="16"/>
          <w:szCs w:val="16"/>
          <w:i w:val="1"/>
          <w:iCs w:val="1"/>
          <w:color w:val="auto"/>
        </w:rPr>
        <w:t>Elimination of Certain Financial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including an Amendment to Variable Interest Entities Guidance in Topic 810 Consolidation</w:t>
      </w:r>
      <w:r>
        <w:rPr>
          <w:rFonts w:ascii="Arial" w:cs="Arial" w:eastAsia="Arial" w:hAnsi="Arial"/>
          <w:sz w:val="16"/>
          <w:szCs w:val="16"/>
          <w:color w:val="auto"/>
        </w:rPr>
        <w:t>. These updates remove the definition of a</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stage entity from the Master Glossary of the ASC, thereby removing the financial reporting distinction between development stage entities and other reporting entities from U.S. GAAP. In addition, the amendments eliminate the requirements for development stage entities to (1) present inception-to-date information in the statements of income, cash flows, and shareholder equity, (2) label the financial statements as those of a development stage entity,</w:t>
      </w:r>
    </w:p>
    <w:p>
      <w:pPr>
        <w:spacing w:after="0" w:line="2" w:lineRule="exact"/>
        <w:rPr>
          <w:sz w:val="20"/>
          <w:szCs w:val="20"/>
          <w:color w:val="auto"/>
        </w:rPr>
      </w:pPr>
    </w:p>
    <w:p>
      <w:pPr>
        <w:ind w:right="8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disclose a description of the development stage activities in which the entity is engaged, and (4) disclose in the first year in which the entity is no longer a development stage entity that in prior years it had been in the development stage. This standard is effective for annual reporting periods beginning after December 15, 2014. The Company has early adopted this standard in the presentation of its financial statements.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ind w:right="220"/>
        <w:spacing w:after="0" w:line="236" w:lineRule="auto"/>
        <w:rPr>
          <w:sz w:val="20"/>
          <w:szCs w:val="20"/>
          <w:color w:val="auto"/>
        </w:rPr>
      </w:pPr>
      <w:r>
        <w:rPr>
          <w:rFonts w:ascii="Arial" w:cs="Arial" w:eastAsia="Arial" w:hAnsi="Arial"/>
          <w:sz w:val="22"/>
          <w:szCs w:val="22"/>
          <w:color w:val="auto"/>
        </w:rPr>
        <w:t>In August 2014 the FASB issued ASU 2014-15, Disclosure of Uncertainties about an Entity's Ability to Continue as a Going Concern. The ASU is intended to define management's responsibility to evaluate whether there is substantial doubt about an organization's ability to continue as a going concern and to provide related footnote disclosures. For all entities, the ASU is effective for annual periods ending after December 15, 2016 and interim periods within annual periods beginning after December 15, 2016.</w:t>
      </w:r>
    </w:p>
    <w:p>
      <w:pPr>
        <w:spacing w:after="0" w:line="326"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provide for income taxes in 2015 because the Company has projected net loss for all jurisdictions for the full year 2015. The Company has recorded a full valuation allowance for its net deferred tax assets in 2015 and 2014.</w:t>
      </w:r>
    </w:p>
    <w:p>
      <w:pPr>
        <w:spacing w:after="0" w:line="383"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In February 2014, the Company sold 1.2 million shares of common stock for total proceeds of approximately $12.0 million from the exercise of warrants by its warrant holders. From July through November 18, 2014, the Company sold approximately 601,000 shares of common stock at a price of $15.00 per share for total proceeds of approximately $9.0 million. Each share had one warrant attached, which would be exercisable for 180 days into a single common share in the Company at a price of $15.00 per share. As of December 31, 2014, the Company had total warrants outstanding for the purchase of 493,000 shares of common stock at a price of $15.00 per share.</w:t>
      </w:r>
    </w:p>
    <w:p>
      <w:pPr>
        <w:spacing w:after="0" w:line="18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From November 24, 2014 through December 31, 2014, the Company sold 3.0 million shares of common stock at $15.00 per share pursuant to stock subscription agreements for total proceeds of $44.8 million of which $410,000 remained uncollected as of December 31, 2014 and was received in January 2015. The Company incurred issuance costs of approximately $1.9 million in cash and $0.4 million in non-cash 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2014, 15,000 stock options were exercised at a price of $10.00 for total proceeds of $0.15 million.</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From January to March 2015, the Company received requests from investors for the exercise of warrants to purchase a total of 164,999 shares of common stock at $15.00 per share for a total of $2.4 million. Also, the Company received approximately $8,000 in January 2015 from 15,000 exercised options at $0.55 per share.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April 17, 2015, the Company sold 4.0 million shares of common stock at $19.00 per share in its Initial Public Offering (“IPO”) resulting in net proceeds of $70.6 million.</w:t>
      </w:r>
    </w:p>
    <w:p>
      <w:pPr>
        <w:spacing w:after="0" w:line="27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From April to June 2015, excluding the IPO, the Company sold 208,333 shares of common stock for total proceeds of approximately $3.1 million from the exercise of warrants by common stock shareholders. Also, the Company received $0.7 million from 106,000 exercised stock options.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July 2015, 12,000 stock options were exercised at a price of $2.50 for total proceeds of $30,000.</w:t>
      </w:r>
    </w:p>
    <w:p>
      <w:pPr>
        <w:spacing w:after="0" w:line="200" w:lineRule="exact"/>
        <w:rPr>
          <w:sz w:val="20"/>
          <w:szCs w:val="20"/>
          <w:color w:val="auto"/>
        </w:rPr>
      </w:pPr>
    </w:p>
    <w:p>
      <w:pPr>
        <w:spacing w:after="0" w:line="345" w:lineRule="exact"/>
        <w:rPr>
          <w:sz w:val="20"/>
          <w:szCs w:val="20"/>
          <w:color w:val="auto"/>
        </w:rPr>
      </w:pPr>
    </w:p>
    <w:p>
      <w:pPr>
        <w:ind w:left="720" w:hanging="712"/>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Options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November 11, 2005, the board of directors of the Company adopted a stock option plan (“the Plan”) pursuant to which the Company may grant incentive stock and non-qualified stock options to directors, officers, employees or consultants of the Company or an affiliate or other persons as the Compensation Committee may approve.</w:t>
      </w:r>
    </w:p>
    <w:p>
      <w:pPr>
        <w:spacing w:after="0" w:line="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March 13, 2015, the shareholders approved the 2015 Equity Incentive Plan adopted by the board of directors which approves the granting of incentive stock options, non-qualified stock options, restricted stock units, performance stock units and share appreciation rights to directors, officers, employees and consultants. The Company may grant incentive stock option and other stock-based awards to officers and employees as defined in Section 422 of the Internal Revenue Code of 1986 and may grant stock options and other stock based-awards to directors and consultants of the Company.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2" w:name="page13"/>
    <w:bookmarkEnd w:id="12"/>
    <w:p>
      <w:pPr>
        <w:ind w:right="280"/>
        <w:spacing w:after="0" w:line="277" w:lineRule="auto"/>
        <w:rPr>
          <w:sz w:val="20"/>
          <w:szCs w:val="20"/>
          <w:color w:val="auto"/>
        </w:rPr>
      </w:pPr>
      <w:r>
        <w:rPr>
          <w:rFonts w:ascii="Arial" w:cs="Arial" w:eastAsia="Arial" w:hAnsi="Arial"/>
          <w:sz w:val="18"/>
          <w:szCs w:val="18"/>
          <w:color w:val="auto"/>
        </w:rPr>
        <w:t>In February and August 2011 the Company granted stock options to a non-employee consultant that vest over 3 and 4 years, respectively. The fair value of these awards is remeasured at each reporting date until the date the consultant’s services are completed.</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 director, officer or employee of or consultant to the Company, or in the event of the termination of the participant with cause, the date of such termination.</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this Plan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A summary of changes in common stock options issued under the Plan is as follows:</w:t>
            </w: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Options</w:t>
            </w:r>
          </w:p>
        </w:tc>
        <w:tc>
          <w:tcPr>
            <w:tcW w:w="158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Exercise Price</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2014</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4,884,165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65,000</w:t>
            </w:r>
          </w:p>
        </w:tc>
        <w:tc>
          <w:tcPr>
            <w:tcW w:w="5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3"/>
              </w:rPr>
              <w:t>15.00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0.56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Forfeitures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(95,625)</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0.55</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15.00</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Options outstanding at March 31, 2015</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4,838,540</w:t>
            </w: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$0.55</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$15.00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219,528</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21.99</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(106,000)</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2.50</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10.00</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Options outstanding at June 30, 2015</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4,952,068</w:t>
            </w:r>
          </w:p>
        </w:tc>
        <w:tc>
          <w:tcPr>
            <w:tcW w:w="520" w:type="dxa"/>
            <w:vAlign w:val="bottom"/>
          </w:tcPr>
          <w:p>
            <w:pPr>
              <w:jc w:val="center"/>
              <w:spacing w:after="0"/>
              <w:rPr>
                <w:sz w:val="20"/>
                <w:szCs w:val="20"/>
                <w:color w:val="auto"/>
              </w:rPr>
            </w:pPr>
            <w:r>
              <w:rPr>
                <w:rFonts w:ascii="Arial" w:cs="Arial" w:eastAsia="Arial" w:hAnsi="Arial"/>
                <w:sz w:val="18"/>
                <w:szCs w:val="18"/>
                <w:color w:val="auto"/>
                <w:w w:val="91"/>
              </w:rPr>
              <w:t>0.57</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21.99</w:t>
            </w:r>
          </w:p>
        </w:tc>
        <w:tc>
          <w:tcPr>
            <w:tcW w:w="1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65,900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$16.91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(12,000)</w:t>
            </w:r>
          </w:p>
        </w:tc>
        <w:tc>
          <w:tcPr>
            <w:tcW w:w="5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2.50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Forfeitures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15.00</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2015</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4,998,343</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0.57</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21.99</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September 30, 2015, there was approximately $6.0 million of unrecognized compensation cost, related to stock options granted under the Plan which will be amortized to stock compensation expense over the next 2.11 years.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summarizes the computation of basic and diluted net loss per share for the three months and nine months ended September 30, 2015 and 2014 (in thousands, except share and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29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2014</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w w:val="94"/>
              </w:rPr>
              <w:t>Weighted-average number of common shares—basic and</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32,050,565</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24,116,917</w:t>
            </w:r>
          </w:p>
        </w:tc>
        <w:tc>
          <w:tcPr>
            <w:tcW w:w="4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30,342,741</w:t>
            </w:r>
          </w:p>
        </w:tc>
        <w:tc>
          <w:tcPr>
            <w:tcW w:w="6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23,873,486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common shares outstanding, because including them would have had an anti-dilutive effect due to the losses reported.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4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0"/>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4,998,343</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4,480,665</w:t>
            </w: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58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4,998,343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4,480,665</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75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Subsequent Events</w:t>
            </w: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40" w:type="dxa"/>
            <w:vAlign w:val="bottom"/>
            <w:vMerge w:val="continue"/>
          </w:tcPr>
          <w:p>
            <w:pPr>
              <w:spacing w:after="0"/>
              <w:rPr>
                <w:sz w:val="24"/>
                <w:szCs w:val="24"/>
                <w:color w:val="auto"/>
              </w:rPr>
            </w:pPr>
          </w:p>
        </w:tc>
        <w:tc>
          <w:tcPr>
            <w:tcW w:w="75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Subsequent to September 30, 2015, the Company received requests from employees for the exercise of stock options to purchase 13,1500 shares of the Company's common stock for a total of $359,876.92.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ind w:right="2120"/>
        <w:spacing w:after="0" w:line="40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Forward – looking Statements</w:t>
      </w:r>
    </w:p>
    <w:p>
      <w:pPr>
        <w:spacing w:after="0" w:line="58"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w:t>
      </w:r>
    </w:p>
    <w:p>
      <w:pPr>
        <w:spacing w:after="0" w:line="8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 this Quarterly Report on Form 10-Q, include, among other things, those under the heading “Risk Factors” included in our Prospectus filed with the Securities and Exchange Commission ("SEC") on April 16th, 2015,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71"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XBiotech Inc. is a clinical-stage biopharmaceutical company engaged in discovering and developing True Human™ monoclonal antibodies for treating a variety of different diseases. True Human™ monoclonal antibodies are those which occur naturally in human beings—as opposed to being derived from animal immunization technologies or otherwise engineered. We believe that naturally occurring monoclonal antibodies have the potential to be safer and more effective than their non-naturally occurring counterparts. While primarily focused on bringing our lead product candidate, Xilonix™, to market, we have also developed a proprietary True Human™ monoclonal antibody discovery platform and manufacturing system.</w:t>
      </w:r>
    </w:p>
    <w:p>
      <w:pPr>
        <w:spacing w:after="0" w:line="173" w:lineRule="exact"/>
        <w:rPr>
          <w:sz w:val="20"/>
          <w:szCs w:val="20"/>
          <w:color w:val="auto"/>
        </w:rPr>
      </w:pPr>
    </w:p>
    <w:p>
      <w:pPr>
        <w:ind w:right="80" w:firstLine="441"/>
        <w:spacing w:after="0" w:line="289" w:lineRule="auto"/>
        <w:rPr>
          <w:sz w:val="20"/>
          <w:szCs w:val="20"/>
          <w:color w:val="auto"/>
        </w:rPr>
      </w:pPr>
      <w:r>
        <w:rPr>
          <w:rFonts w:ascii="Arial" w:cs="Arial" w:eastAsia="Arial" w:hAnsi="Arial"/>
          <w:sz w:val="16"/>
          <w:szCs w:val="16"/>
          <w:color w:val="auto"/>
        </w:rPr>
        <w:t>We have never been profitable and, as of September 30, 2015, we had an accumulated deficit of $118.8 million. We had net losses of $10.8 million and $25.6 million for three months and nine months ended September 30, 2015, respectively, compared to $7.0 million and $15.4 million for three months and nine months ended September 30, 2014, respectively.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begin to operate as a public company. We will need to generate significant revenues to achieve profitability, and we may never do so. On April 17, 2015, the Company closed its initial public offering of 4,000,000 shares of its common stock at a price of $19.00 per share for a total offering amount of $76,000,000, before underwriting discounts, commissions and other Company expenses. Net proceeds to the Company totaled approximately $70.6 million after deducting underwriting discounts and commissions of $3.8 million and other offering expenses of approximately $1.6 million. As of September 30, 2015, we had 73 employees.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Recent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and construction of the new manufacturing facility Highlights</w:t>
      </w:r>
    </w:p>
    <w:p>
      <w:pPr>
        <w:spacing w:after="0" w:line="18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As of September 30, 2015 XBiotech has achieved some significant milestones with its Xilonix and 514G3 programs. Enrollment on a Phase III Symptomatic Colorectal Cancer Study has been completed and 61 subjects have been randomized and dosed. Additionally, the first dose cohort has been enrolled on a Staphylococcus Aurues Bacteremia Phase I/II Study with a brand new antibody therapy, 514G3. Having met this milestone, sites were given the green light to advance to the next dose level in the Phase I portion of the study.</w:t>
      </w:r>
    </w:p>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There was significant progress in the third quarter with regard to construction of the new manufacturing facility located in Austin Texas. During the quarter the building walls, structural steel, and roofing were installed. Build out of the interior was started in administrative and lab spaces, and the building was prepared for installation of clean rooms. Final engineering designs were completed for the manufacturing spaces with clean room construction scheduled to commence in Q4 2015. All activities are on schedule per the current project plan with anticipated building completion in March of 2016 and validation of product in July 2016.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2" w:lineRule="exact"/>
        <w:rPr>
          <w:sz w:val="20"/>
          <w:szCs w:val="20"/>
          <w:color w:val="auto"/>
        </w:rPr>
      </w:pPr>
    </w:p>
    <w:p>
      <w:pPr>
        <w:ind w:right="1060" w:firstLine="441"/>
        <w:spacing w:after="0" w:line="308" w:lineRule="auto"/>
        <w:rPr>
          <w:sz w:val="20"/>
          <w:szCs w:val="20"/>
          <w:color w:val="auto"/>
        </w:rPr>
      </w:pPr>
      <w:r>
        <w:rPr>
          <w:rFonts w:ascii="Arial" w:cs="Arial" w:eastAsia="Arial" w:hAnsi="Arial"/>
          <w:sz w:val="17"/>
          <w:szCs w:val="17"/>
          <w:color w:val="auto"/>
        </w:rPr>
        <w:t>To date, we have not generated any revenue. Our ability to generate revenue and become profitable depends on our ability to successfully commercialize our lead product candidate, Xilonix™, or any other product candidate we may advance in the future.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8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187"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September 30, 2015, we have recorded total research and development expenses, including share-based compensation, of $90.9 million. Our total research and development expenses for the three months and nine months ended September 30, 2015 were $9.7 million and $20.9 million, respectively, compared to $4.3 million and $9.9 million for the three months and nine months ended September 30, 2014, respectively. Share-based compensation accounted for $0.7 million and $1.7 million for the three months and nine months ended September 30, 2015, respectively, compared to $2.3 million and $2.8 million for the three months and nine months ended September 30, 2014, respectively.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48" w:right="259" w:bottom="1440" w:gutter="0" w:footer="0" w:header="0"/>
        </w:sectPr>
      </w:pPr>
    </w:p>
    <w:bookmarkStart w:id="16" w:name="page17"/>
    <w:bookmarkEnd w:id="16"/>
    <w:p>
      <w:pPr>
        <w:ind w:right="80" w:firstLine="441"/>
        <w:spacing w:after="0" w:line="279" w:lineRule="auto"/>
        <w:rPr>
          <w:sz w:val="20"/>
          <w:szCs w:val="20"/>
          <w:color w:val="auto"/>
        </w:rPr>
      </w:pPr>
      <w:r>
        <w:rPr>
          <w:rFonts w:ascii="Arial" w:cs="Arial" w:eastAsia="Arial" w:hAnsi="Arial"/>
          <w:sz w:val="17"/>
          <w:szCs w:val="17"/>
          <w:color w:val="auto"/>
        </w:rPr>
        <w:t xml:space="preserve">Research and development expenses, as a percentage of total operating expenses for the three months and nine months ended September 30, 2015 were 90% and 82%, respectively, compared to 62% and 65% for the three months and nine months ended September 30, 2014, respectively. The percentages, </w:t>
      </w:r>
      <w:r>
        <w:rPr>
          <w:rFonts w:ascii="Arial" w:cs="Arial" w:eastAsia="Arial" w:hAnsi="Arial"/>
          <w:sz w:val="17"/>
          <w:szCs w:val="17"/>
          <w:i w:val="1"/>
          <w:iCs w:val="1"/>
          <w:color w:val="auto"/>
        </w:rPr>
        <w:t xml:space="preserve">excluding </w:t>
      </w:r>
      <w:r>
        <w:rPr>
          <w:rFonts w:ascii="Arial" w:cs="Arial" w:eastAsia="Arial" w:hAnsi="Arial"/>
          <w:sz w:val="17"/>
          <w:szCs w:val="17"/>
          <w:color w:val="auto"/>
        </w:rPr>
        <w:t>stock-based compensation, for the three months and nine months ended September 30, 2015 were 91% and 87%, respectively, compared to 92%</w:t>
      </w:r>
      <w:r>
        <w:rPr>
          <w:rFonts w:ascii="Arial" w:cs="Arial" w:eastAsia="Arial" w:hAnsi="Arial"/>
          <w:sz w:val="17"/>
          <w:szCs w:val="17"/>
          <w:i w:val="1"/>
          <w:iCs w:val="1"/>
          <w:color w:val="auto"/>
        </w:rPr>
        <w:t xml:space="preserve"> </w:t>
      </w:r>
      <w:r>
        <w:rPr>
          <w:rFonts w:ascii="Arial" w:cs="Arial" w:eastAsia="Arial" w:hAnsi="Arial"/>
          <w:sz w:val="17"/>
          <w:szCs w:val="17"/>
          <w:color w:val="auto"/>
        </w:rPr>
        <w:t>and 88% for the three months and nine months ended September 30, 2014, respectively.</w:t>
      </w:r>
    </w:p>
    <w:p>
      <w:pPr>
        <w:spacing w:after="0" w:line="17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As planned, our clinical costs will increase as we advance Xilonix™ as an anti-cancer therapy for treating last-line metastatic colorectal cancer, under a regulatory path through Phase III clinical trials in Europe and the US and when we expand the studies to South America, Australia and Canada, with all territories expected to be active by the end of 2015. Our clinical study underway in Europe that is being regulated by the European Medicines Agency ("EMA") have completed enrollment in August, 2015. Depending on the outcome of this study, submission for marketing approval with the EMA could take place by the year ended 2015, which could position the Company to generate related revenues in 2017 if it receives EMA marketing approval and the Company successfully completes it commercialization plan for Xilonix™. The clinical research and development costs will also increase as we have launched phase 1 and 2 clinical study of novel True Human™ therapeutic antibody for treating serious infections due to </w:t>
      </w:r>
      <w:r>
        <w:rPr>
          <w:rFonts w:ascii="Arial" w:cs="Arial" w:eastAsia="Arial" w:hAnsi="Arial"/>
          <w:sz w:val="17"/>
          <w:szCs w:val="17"/>
          <w:i w:val="1"/>
          <w:iCs w:val="1"/>
          <w:color w:val="auto"/>
        </w:rPr>
        <w:t>Staphylococcus aureus</w:t>
      </w:r>
      <w:r>
        <w:rPr>
          <w:rFonts w:ascii="Arial" w:cs="Arial" w:eastAsia="Arial" w:hAnsi="Arial"/>
          <w:sz w:val="17"/>
          <w:szCs w:val="17"/>
          <w:color w:val="auto"/>
        </w:rPr>
        <w:t xml:space="preserve"> in the U.S. We expect to expand this study to Europe, South Korea and Taiwan by the end of 2015. The Company’s plans to pursue an advanced regulatory path for Pyoderma Gangrenosum is on hold indefinitely while we await the outcome of other programs in later stages of development. In the meantime, based on the results of our preclinical studies, we anticipate that we will select drug candidates and research projects for further development on an ongoing basis in response to their preclinical and clinical success and commercial potential. For R&amp;D candidates in early stages of development, it is premature to estimate when material net cash inflows from these projects might occur.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and nine months ended September 30, 2015 were $1.1 million and $4.5 million, respectively, compared to $2.6 million and $5.5 million for the three months and nine months ended September 30, 2014, respectively. Share-based compensation accounted for $0.2 million and $1.7 million for the three months and nine months ended September 30, 2015, respectively, compared to $0.3 million and $2.2 million for the three months and nine months ended September 30, 2014,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right="340" w:firstLine="441"/>
        <w:spacing w:after="0" w:line="312"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conformity with generally accepted accounting principles in the United States, or US GAAP. The preparation of our financial statements requires us to make estimates and assumptions that affect the reported amounts of assets and liabilities and expenses incurred during the reported periods.</w:t>
      </w:r>
    </w:p>
    <w:p>
      <w:pPr>
        <w:spacing w:after="0" w:line="14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81" w:lineRule="exact"/>
        <w:rPr>
          <w:sz w:val="20"/>
          <w:szCs w:val="20"/>
          <w:color w:val="auto"/>
        </w:rPr>
      </w:pPr>
    </w:p>
    <w:p>
      <w:pPr>
        <w:ind w:right="200" w:firstLine="441"/>
        <w:spacing w:after="0" w:line="308" w:lineRule="auto"/>
        <w:rPr>
          <w:sz w:val="20"/>
          <w:szCs w:val="20"/>
          <w:color w:val="auto"/>
        </w:rPr>
      </w:pPr>
      <w:r>
        <w:rPr>
          <w:rFonts w:ascii="Arial" w:cs="Arial" w:eastAsia="Arial" w:hAnsi="Arial"/>
          <w:sz w:val="17"/>
          <w:szCs w:val="17"/>
          <w:color w:val="auto"/>
        </w:rPr>
        <w:t>While our significant accounting policies are more fully described in the notes to our financial statements appearing in this Quarterly Report on Form 10-Q, we believe that the following accounting policies are the most critical to understanding and evaluating our reported financial results.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Stock-based awards are measured at fair value at each grant date. We recognize stock-based compensation expenses ratably over the requisite service period of the option award.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Stock-Based Compensation Grants</w:t>
      </w:r>
    </w:p>
    <w:p>
      <w:pPr>
        <w:spacing w:after="0" w:line="117"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The determination of the fair value of stock-based compensation arrangements is affected by a number of variables, including estimates of the expected stock price volatility, risk-free interest rate and the expected life of the award. We value stock options using the Black-Scholes option-pricing model, which was developed for use in estimating the fair value of traded options that are fully transferable and have no vesting restrictions. Black-Scholes and other option valuation models require the input of highly subjective assumptions, including the expected stock price volatility. If we made different assumptions, our stock-based compensation expenses, net loss, and net loss per common share could be significantly different. Prior to our initial public offering in April 2015, we issued common stock for cash consideration to new investors. We believe that such transactions represent the best evidence of fair value of our common stock. Therefore, we used the sales price of our common stock during these periods as the fair value of our common stock.</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assumptions used for estimating the fair value of stock options granted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2740" w:type="dxa"/>
            <w:vAlign w:val="bottom"/>
            <w:gridSpan w:val="3"/>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740" w:type="dxa"/>
            <w:vAlign w:val="bottom"/>
          </w:tcPr>
          <w:p>
            <w:pPr>
              <w:spacing w:after="0"/>
              <w:rPr>
                <w:sz w:val="18"/>
                <w:szCs w:val="18"/>
                <w:color w:val="auto"/>
              </w:rPr>
            </w:pPr>
          </w:p>
        </w:tc>
        <w:tc>
          <w:tcPr>
            <w:tcW w:w="2040" w:type="dxa"/>
            <w:vAlign w:val="bottom"/>
            <w:gridSpan w:val="4"/>
          </w:tcPr>
          <w:p>
            <w:pPr>
              <w:ind w:left="200"/>
              <w:spacing w:after="0"/>
              <w:rPr>
                <w:sz w:val="20"/>
                <w:szCs w:val="20"/>
                <w:color w:val="auto"/>
              </w:rPr>
            </w:pPr>
            <w:r>
              <w:rPr>
                <w:rFonts w:ascii="Arial" w:cs="Arial" w:eastAsia="Arial" w:hAnsi="Arial"/>
                <w:sz w:val="18"/>
                <w:szCs w:val="18"/>
                <w:b w:val="1"/>
                <w:bCs w:val="1"/>
                <w:color w:val="auto"/>
              </w:rPr>
              <w:t>Nine Months Ended</w:t>
            </w:r>
          </w:p>
        </w:tc>
        <w:tc>
          <w:tcPr>
            <w:tcW w:w="480" w:type="dxa"/>
            <w:vAlign w:val="bottom"/>
          </w:tcPr>
          <w:p>
            <w:pPr>
              <w:spacing w:after="0"/>
              <w:rPr>
                <w:sz w:val="18"/>
                <w:szCs w:val="18"/>
                <w:color w:val="auto"/>
              </w:rPr>
            </w:pPr>
          </w:p>
        </w:tc>
      </w:tr>
      <w:tr>
        <w:trPr>
          <w:trHeight w:val="234"/>
        </w:trPr>
        <w:tc>
          <w:tcPr>
            <w:tcW w:w="5420" w:type="dxa"/>
            <w:vAlign w:val="bottom"/>
          </w:tcPr>
          <w:p>
            <w:pPr>
              <w:spacing w:after="0"/>
              <w:rPr>
                <w:sz w:val="20"/>
                <w:szCs w:val="20"/>
                <w:color w:val="auto"/>
              </w:rPr>
            </w:pPr>
          </w:p>
        </w:tc>
        <w:tc>
          <w:tcPr>
            <w:tcW w:w="2740" w:type="dxa"/>
            <w:vAlign w:val="bottom"/>
            <w:gridSpan w:val="3"/>
          </w:tcPr>
          <w:p>
            <w:pPr>
              <w:ind w:left="880"/>
              <w:spacing w:after="0"/>
              <w:rPr>
                <w:sz w:val="20"/>
                <w:szCs w:val="20"/>
                <w:color w:val="auto"/>
              </w:rPr>
            </w:pPr>
            <w:r>
              <w:rPr>
                <w:rFonts w:ascii="Arial" w:cs="Arial" w:eastAsia="Arial" w:hAnsi="Arial"/>
                <w:sz w:val="18"/>
                <w:szCs w:val="18"/>
                <w:b w:val="1"/>
                <w:bCs w:val="1"/>
                <w:color w:val="auto"/>
              </w:rPr>
              <w:t>September 30,</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Pr>
          <w:p>
            <w:pPr>
              <w:spacing w:after="0"/>
              <w:rPr>
                <w:sz w:val="20"/>
                <w:szCs w:val="20"/>
                <w:color w:val="auto"/>
              </w:rPr>
            </w:pPr>
          </w:p>
        </w:tc>
      </w:tr>
      <w:tr>
        <w:trPr>
          <w:trHeight w:val="257"/>
        </w:trPr>
        <w:tc>
          <w:tcPr>
            <w:tcW w:w="54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2014</w:t>
            </w:r>
          </w:p>
        </w:tc>
        <w:tc>
          <w:tcPr>
            <w:tcW w:w="7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5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480" w:type="dxa"/>
            <w:vAlign w:val="bottom"/>
            <w:tcBorders>
              <w:bottom w:val="single" w:sz="8" w:color="auto"/>
            </w:tcBorders>
          </w:tcPr>
          <w:p>
            <w:pPr>
              <w:spacing w:after="0"/>
              <w:rPr>
                <w:sz w:val="22"/>
                <w:szCs w:val="22"/>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$16.91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$15.00</w:t>
            </w:r>
          </w:p>
        </w:tc>
        <w:tc>
          <w:tcPr>
            <w:tcW w:w="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430"/>
              <w:spacing w:after="0"/>
              <w:rPr>
                <w:sz w:val="20"/>
                <w:szCs w:val="20"/>
                <w:color w:val="auto"/>
              </w:rPr>
            </w:pPr>
            <w:r>
              <w:rPr>
                <w:rFonts w:ascii="Arial" w:cs="Arial" w:eastAsia="Arial" w:hAnsi="Arial"/>
                <w:sz w:val="18"/>
                <w:szCs w:val="18"/>
                <w:color w:val="auto"/>
                <w:w w:val="90"/>
              </w:rPr>
              <w:t>$17.99</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$10.46</w:t>
            </w:r>
          </w:p>
        </w:tc>
        <w:tc>
          <w:tcPr>
            <w:tcW w:w="48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66%</w:t>
            </w:r>
          </w:p>
        </w:tc>
        <w:tc>
          <w:tcPr>
            <w:tcW w:w="120" w:type="dxa"/>
            <w:vAlign w:val="bottom"/>
          </w:tcPr>
          <w:p>
            <w:pPr>
              <w:spacing w:after="0"/>
              <w:rPr>
                <w:sz w:val="18"/>
                <w:szCs w:val="18"/>
                <w:color w:val="auto"/>
              </w:rPr>
            </w:pP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94"/>
              </w:rPr>
              <w:t>70%</w:t>
            </w:r>
          </w:p>
        </w:tc>
        <w:tc>
          <w:tcPr>
            <w:tcW w:w="740" w:type="dxa"/>
            <w:vAlign w:val="bottom"/>
          </w:tcPr>
          <w:p>
            <w:pPr>
              <w:jc w:val="center"/>
              <w:ind w:left="170"/>
              <w:spacing w:after="0"/>
              <w:rPr>
                <w:sz w:val="20"/>
                <w:szCs w:val="20"/>
                <w:color w:val="auto"/>
              </w:rPr>
            </w:pPr>
            <w:r>
              <w:rPr>
                <w:rFonts w:ascii="Arial" w:cs="Arial" w:eastAsia="Arial" w:hAnsi="Arial"/>
                <w:sz w:val="18"/>
                <w:szCs w:val="18"/>
                <w:color w:val="auto"/>
                <w:w w:val="88"/>
              </w:rPr>
              <w:t>66%</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71%</w:t>
            </w: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70%</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73%</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1.75%   –   1.93%</w:t>
            </w:r>
          </w:p>
        </w:tc>
        <w:tc>
          <w:tcPr>
            <w:tcW w:w="11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2.96%</w:t>
            </w:r>
          </w:p>
        </w:tc>
        <w:tc>
          <w:tcPr>
            <w:tcW w:w="7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3"/>
              </w:rPr>
              <w:t>1.07%</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10</w:t>
            </w:r>
          </w:p>
        </w:tc>
        <w:tc>
          <w:tcPr>
            <w:tcW w:w="740" w:type="dxa"/>
            <w:vAlign w:val="bottom"/>
          </w:tcPr>
          <w:p>
            <w:pPr>
              <w:jc w:val="center"/>
              <w:ind w:left="170"/>
              <w:spacing w:after="0"/>
              <w:rPr>
                <w:sz w:val="20"/>
                <w:szCs w:val="20"/>
                <w:color w:val="auto"/>
              </w:rPr>
            </w:pPr>
            <w:r>
              <w:rPr>
                <w:rFonts w:ascii="Arial" w:cs="Arial" w:eastAsia="Arial" w:hAnsi="Arial"/>
                <w:sz w:val="18"/>
                <w:szCs w:val="18"/>
                <w:color w:val="auto"/>
                <w:w w:val="79"/>
              </w:rPr>
              <w:t>3</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We have assumed no dividend yield because we do not expect to pay dividends in the foreseeable future, which is consistent with our past practice. The risk-free interest rate assumption is based on observed interest rates for U.S. Treasury securities with maturities consistent with the expected life of our stock options. The expected life represents the period of time the stock options are expected to be outstanding and is based on the simplified method when the stock option includes “plain vanilla” terms. Under the simplified method, the expected life of an option is presumed to be the midpoint between the vesting date and the end of the agreement term. We used the simplified method due to the lack of sufficient historical exercise data to provide a reasonable basis upon which to otherwise estimate the expected life of the stock options. For stock options that did not include “plain vanilla” terms we used the contractual life of the stock option as the expected life. Such stock options consisted primarily of options issued to our board of directors that were immediately vested at issuance. Expected volatility is based on historical volatilities for publicly traded stock of comparable companies over the estimated expected life of the stock options.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record any revenue during the three months and nine months ended September 30, 2015 and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Increase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2014</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5"/>
              </w:rPr>
              <w:t>(Decrease)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1,581</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1,141</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784</w:t>
            </w:r>
          </w:p>
        </w:tc>
        <w:tc>
          <w:tcPr>
            <w:tcW w:w="3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357</w:t>
            </w: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5,059</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1,660</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3,399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701</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446</w:t>
            </w:r>
          </w:p>
        </w:tc>
        <w:tc>
          <w:tcPr>
            <w:tcW w:w="13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1,249</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576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9,731</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4,341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5,390</w:t>
            </w:r>
          </w:p>
        </w:tc>
        <w:tc>
          <w:tcPr>
            <w:tcW w:w="1360" w:type="dxa"/>
            <w:vAlign w:val="bottom"/>
          </w:tcPr>
          <w:p>
            <w:pPr>
              <w:jc w:val="right"/>
              <w:spacing w:after="0"/>
              <w:rPr>
                <w:sz w:val="20"/>
                <w:szCs w:val="20"/>
                <w:color w:val="auto"/>
              </w:rPr>
            </w:pPr>
            <w:r>
              <w:rPr>
                <w:rFonts w:ascii="Arial" w:cs="Arial" w:eastAsia="Arial" w:hAnsi="Arial"/>
                <w:sz w:val="18"/>
                <w:szCs w:val="18"/>
                <w:color w:val="auto"/>
              </w:rPr>
              <w:t>124%</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Increase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2014</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5"/>
              </w:rPr>
              <w:t>(Decrease)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4,558</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1,790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3,180</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1,723</w:t>
            </w:r>
          </w:p>
        </w:tc>
        <w:tc>
          <w:tcPr>
            <w:tcW w:w="3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1,457</w:t>
            </w: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8,463</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2,740</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1,677</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3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947</w:t>
            </w:r>
          </w:p>
        </w:tc>
        <w:tc>
          <w:tcPr>
            <w:tcW w:w="13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3,018</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1,976</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1,042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20,896</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9,937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10,959</w:t>
            </w:r>
          </w:p>
        </w:tc>
        <w:tc>
          <w:tcPr>
            <w:tcW w:w="1360" w:type="dxa"/>
            <w:vAlign w:val="bottom"/>
          </w:tcPr>
          <w:p>
            <w:pPr>
              <w:jc w:val="right"/>
              <w:spacing w:after="0"/>
              <w:rPr>
                <w:sz w:val="20"/>
                <w:szCs w:val="20"/>
                <w:color w:val="auto"/>
              </w:rPr>
            </w:pPr>
            <w:r>
              <w:rPr>
                <w:rFonts w:ascii="Arial" w:cs="Arial" w:eastAsia="Arial" w:hAnsi="Arial"/>
                <w:sz w:val="18"/>
                <w:szCs w:val="18"/>
                <w:color w:val="auto"/>
              </w:rPr>
              <w:t>110%</w:t>
            </w:r>
          </w:p>
        </w:tc>
      </w:tr>
    </w:tbl>
    <w:p>
      <w:pPr>
        <w:spacing w:after="0" w:line="187"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7"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Research and development expenses increased by 124% to $9.7 million for three months ended September 30,2015 compared to $4.3 million for the three months ended September 30, 2014. Research and development expenses increased by 110% to $20.9 million for the nine months ended September 30, 2015 compared to $9.9 million for the nine months ended September 30, 2014.</w:t>
      </w:r>
    </w:p>
    <w:p>
      <w:pPr>
        <w:spacing w:after="0" w:line="18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The increase in research and development expenses for the three months ended September 30, 2015 compared to the three months ended September 30, 2014 was due to a continued increase of employees working at the Company from 68 to 73 and salary increase for current employees. Laboratory and manufacturing supplies also increased due to the increase of the research activities as well as quality control activities. The sharp increase of clinical trials and sponsored research results primarily from the clinical trial started in Europe and the US. In the meantime, stock–based compensation increased due to issuing stock options to new employees and the expenses related to the employees’ options awarded in 2015.</w:t>
      </w:r>
    </w:p>
    <w:p>
      <w:pPr>
        <w:spacing w:after="0" w:line="173"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Compared to the nine months ended September 30, 2014, research and development expenses doubled for the nine months ended September 30, 2015. This increase was principally due to a $5.7 million increase in clinical trial activities, mainly in Europe and the US. The laboratory and manufacturing supplies increased due to manufacturing processing development activities. Labor costs also increased due to current employees’ salary increase and the growing size of the workforce, increases in stock-based compensation due to the stock options awarded in the second half of 2014 and the continuing vesting of such awards in 2015.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Increase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 Increase</w:t>
            </w:r>
          </w:p>
        </w:tc>
      </w:tr>
      <w:tr>
        <w:trPr>
          <w:trHeight w:val="257"/>
        </w:trPr>
        <w:tc>
          <w:tcPr>
            <w:tcW w:w="382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8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(Decrease)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235</w:t>
            </w:r>
          </w:p>
        </w:tc>
        <w:tc>
          <w:tcPr>
            <w:tcW w:w="8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Patent filing expense</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172</w:t>
            </w:r>
          </w:p>
        </w:tc>
        <w:tc>
          <w:tcPr>
            <w:tcW w:w="86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79</w:t>
            </w: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2,269</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(2,084)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Professional fees</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86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433</w:t>
            </w: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337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37"/>
        </w:trPr>
        <w:tc>
          <w:tcPr>
            <w:tcW w:w="3820" w:type="dxa"/>
            <w:vAlign w:val="bottom"/>
          </w:tcPr>
          <w:p>
            <w:pPr>
              <w:spacing w:after="0"/>
              <w:rPr>
                <w:sz w:val="20"/>
                <w:szCs w:val="20"/>
                <w:color w:val="auto"/>
              </w:rPr>
            </w:pPr>
          </w:p>
        </w:tc>
        <w:tc>
          <w:tcPr>
            <w:tcW w:w="20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1,083</w:t>
            </w: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2,639</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1,556)</w:t>
            </w: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Nine Months Ended</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Increase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 Increase</w:t>
            </w:r>
          </w:p>
        </w:tc>
      </w:tr>
      <w:tr>
        <w:trPr>
          <w:trHeight w:val="257"/>
        </w:trPr>
        <w:tc>
          <w:tcPr>
            <w:tcW w:w="384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8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(Decrease)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844</w:t>
            </w:r>
          </w:p>
        </w:tc>
        <w:tc>
          <w:tcPr>
            <w:tcW w:w="8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434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Patent filing expense</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655</w:t>
            </w:r>
          </w:p>
        </w:tc>
        <w:tc>
          <w:tcPr>
            <w:tcW w:w="8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307</w:t>
            </w: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1,678</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4,243</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(2,565)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Professional fees</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480</w:t>
            </w:r>
          </w:p>
        </w:tc>
        <w:tc>
          <w:tcPr>
            <w:tcW w:w="8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359</w:t>
            </w: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16"/>
        </w:trPr>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885</w:t>
            </w:r>
          </w:p>
        </w:tc>
        <w:tc>
          <w:tcPr>
            <w:tcW w:w="8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330</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555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7"/>
        </w:trPr>
        <w:tc>
          <w:tcPr>
            <w:tcW w:w="3840" w:type="dxa"/>
            <w:vAlign w:val="bottom"/>
          </w:tcPr>
          <w:p>
            <w:pPr>
              <w:spacing w:after="0"/>
              <w:rPr>
                <w:sz w:val="20"/>
                <w:szCs w:val="20"/>
                <w:color w:val="auto"/>
              </w:rPr>
            </w:pPr>
          </w:p>
        </w:tc>
        <w:tc>
          <w:tcPr>
            <w:tcW w:w="2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4,542</w:t>
            </w:r>
          </w:p>
        </w:tc>
        <w:tc>
          <w:tcPr>
            <w:tcW w:w="8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5,452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(910)</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General and administrative expenses decreased by 59% to $1.1 million for the three months ended September 30, 2015 compared to $2.6 million for the three months ended September 30, 2014. General and administrative expenses decreased by 17% to $4.5 million for the nine months ended September 30, 2015 compared to $5.5 million for the nine months ended September 30, 2014.</w:t>
      </w:r>
    </w:p>
    <w:p>
      <w:pPr>
        <w:spacing w:after="0" w:line="181"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The three months decrease was primarily related to the stock–based compensation expenses of $2.3 million in 2014 due to the immediately-vested grant of stock options to board members and employees in the second half of 2014. The salary and related costs increased primarily due to new employees in the general and administrative department. Patent filing expenses also increased due to the increase of worldwide patent certification activities.</w:t>
      </w:r>
    </w:p>
    <w:p>
      <w:pPr>
        <w:spacing w:after="0" w:line="147"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The nine months decrease was also primarily due to the stock–based compensation expenses in connection with the stock options to board members, consultants and employees in the second half of 2014. The increase of professional fees, which partially offset the decrease, was due to an increase in legal fees after the Company became a public entity. Salaries and related costs increased resulted from current employees’ salary increase, the growing size of the workforce, and a bonus payment to an executive officer.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jc w:val="both"/>
        <w:ind w:right="40" w:firstLine="441"/>
        <w:spacing w:after="0" w:line="264" w:lineRule="auto"/>
        <w:rPr>
          <w:sz w:val="20"/>
          <w:szCs w:val="20"/>
          <w:color w:val="auto"/>
        </w:rPr>
      </w:pPr>
      <w:r>
        <w:rPr>
          <w:rFonts w:ascii="Arial" w:cs="Arial" w:eastAsia="Arial" w:hAnsi="Arial"/>
          <w:sz w:val="18"/>
          <w:szCs w:val="18"/>
          <w:color w:val="auto"/>
        </w:rPr>
        <w:t>Since our inception on March 22, 2005 through September 30, 2015, we have funded our operations principally through the private placement of equity securities and our initial public offering, which have provided aggregate cash proceeds of approximately $206.4 million. The following table summarizes our sources and uses of cash (in thousands):</w:t>
      </w:r>
    </w:p>
    <w:p>
      <w:pPr>
        <w:sectPr>
          <w:pgSz w:w="11900" w:h="16838" w:orient="portrait"/>
          <w:cols w:equalWidth="0" w:num="1">
            <w:col w:w="11420"/>
          </w:cols>
          <w:pgMar w:left="240" w:top="692" w:right="23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provided 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3040"/>
        <w:spacing w:after="0" w:line="276" w:lineRule="auto"/>
        <w:rPr>
          <w:sz w:val="20"/>
          <w:szCs w:val="20"/>
          <w:color w:val="auto"/>
        </w:rPr>
      </w:pPr>
      <w:r>
        <w:rPr>
          <w:rFonts w:ascii="Arial" w:cs="Arial" w:eastAsia="Arial" w:hAnsi="Arial"/>
          <w:sz w:val="18"/>
          <w:szCs w:val="18"/>
          <w:color w:val="auto"/>
        </w:rPr>
        <w:t>Effect of foreign exchange rate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195"/>
        </w:trPr>
        <w:tc>
          <w:tcPr>
            <w:tcW w:w="2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(22,613)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(8,249)</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77,468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17,351</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48,351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8,252</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692" w:right="239" w:bottom="1440" w:gutter="0" w:footer="0" w:header="0"/>
          <w:type w:val="continuous"/>
        </w:sectPr>
      </w:pPr>
    </w:p>
    <w:p>
      <w:pPr>
        <w:spacing w:after="0" w:line="2"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During the nine months ended September 30, 2015 and 2014, our operating activities used net cash of $22.6 million and $8.2 million, respectively. The use of net cash in each of these periods primarily resulted from our net losses. The increase in net loss from operations for the nine months ended September 30, 2015 as compared to the nine months ended September 30, 2014 was due to the increase in clinical trial activities in Europe and the growing size of workforce.</w:t>
      </w:r>
    </w:p>
    <w:p>
      <w:pPr>
        <w:spacing w:after="0" w:line="187"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During the nine months ended September 30, 2015 and 2014, our investing activities used net cash of $6.6 million and $0.8 million, respectively. We spent approximately $4.7 million more on the construction of our new manufacturing facility during the nine months ended September 30, 2015 compared to the nine months ended September 30, 2014. We also spent $1.1 million more on purchases of scientific equipment during the nine months ended September 30, 2015, compared to the nine months ended September 30, 2014.</w:t>
      </w:r>
    </w:p>
    <w:p>
      <w:pPr>
        <w:spacing w:after="0" w:line="18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During the nine months ended September 30, 2015 and 2014, our financing activities provided net cash proceeds of $77.5 million and $17.4 million, respectively. During the nine months ended September 30, 2015, we received IPO proceeds of $72.2 million and incurred offering costs of $1.6 million, which consisted of direct incremental legal, accounting and other professional service fees related to our IPO. Also, during the nine months ended September 30, 2015, investors exercised warrants to purchase a total of 373,332 shares of our common stock at an exercise price of $15.00 per share for a total of approximately $5.6 million in net proceeds, and exercised stock option to purchase a total of 133,000 shares of our common stock for a total of approximately $0.7 million in net proceeds. In January 2015, we received previously outstanding subscription receivable in the amount of $0.4 million.</w:t>
      </w:r>
    </w:p>
    <w:p>
      <w:pPr>
        <w:spacing w:after="0" w:line="165"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We expect to continue to incur substantial operating losses in the future. We will not receive any product revenue until a drug candidate has been approved by the FDA or similar regulatory agencies in other countries and successfully commercialized. As of September 30, 2015, our principal sources of liquidity were our cash and cash equivalents, which totaled approximately $105.7 million.</w:t>
      </w:r>
    </w:p>
    <w:p>
      <w:pPr>
        <w:spacing w:after="0" w:line="181"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On April 14, 2015, our registration statement on Form S-1 (File No. 333-201813) was declared effective by the SEC for our initial public offering pursuant to which we sold an aggregate of 4,000,000 shares of our common stock at a price of $19.00 per share. The offering commenced as of April 14, 2015 and did not terminate before all of the securities registered in the registration statement were sold. On April 17, 2015, we closed the sale of such shares, resulting in net proceeds to us of approximately $70.6 million after deducting underwriting discounts and commissions of $3.8 million and other offering expenses of approximately $1.6 million. No payments were made by us to directors, officers or persons owning ten percent or more of our common stock or to their associates, or to our affiliates. There has been no material change in the planned use of proceeds from our initial public offering as described in our final prospectus filed with the Securities and Exchange Commission on April 16, 2015 pursuant to Rule 424(b).</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60" w:firstLine="441"/>
        <w:spacing w:after="0" w:line="302" w:lineRule="auto"/>
        <w:rPr>
          <w:sz w:val="20"/>
          <w:szCs w:val="20"/>
          <w:color w:val="auto"/>
        </w:rPr>
      </w:pPr>
      <w:r>
        <w:rPr>
          <w:rFonts w:ascii="Arial" w:cs="Arial" w:eastAsia="Arial" w:hAnsi="Arial"/>
          <w:sz w:val="16"/>
          <w:szCs w:val="16"/>
          <w:color w:val="auto"/>
        </w:rPr>
        <w:t>On January 12, 2008, we entered a lease agreement to lease our facility in Austin, Texas. On September 15, 2010, we entered into a second lease agreement to lease additional space in Austin, Texas. On March 20, 2014, we extended the lease for an additional 21 months on the same terms and rental rates as the current lease. Rent expense was $164 thousand and $139 thousand for the three months ended September 30, 2015 and 2014, respectively. On February 28, 2015, we extended the lease for another 4 years. The future minimum lease payments are as follows as of September 30, 2015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Less than</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More than</w:t>
            </w: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1 - 3 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3 - 5 Years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5 Years</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of Market Risks</w:t>
      </w:r>
    </w:p>
    <w:p>
      <w:pPr>
        <w:spacing w:after="0" w:line="121"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2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Management's Evaluation of our Disclosure Controls and Procedures</w:t>
      </w:r>
    </w:p>
    <w:p>
      <w:pPr>
        <w:spacing w:after="0" w:line="117"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02"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Quarterly Report on Form 10-Q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9"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2" w:name="page23"/>
    <w:bookmarkEnd w:id="22"/>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currently a part to any material litigating or other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changes in the risk factors previously disclosed in our final prospectus filed with the SEC on April 16, 2015.</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 Recent Sales of Unregistered Equity Securities</w:t>
      </w:r>
    </w:p>
    <w:p>
      <w:pPr>
        <w:spacing w:after="0" w:line="198"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During the period between July 1, 2015 and September 30, 2015, one investor exercised a warrant to purchase a total of 12,000 shares of our common stock at price of $2.50 per share for a total of approximately $30 thousand in net proceeds from this exercised warrant.</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 Use of Proceeds from IPO</w:t>
      </w:r>
    </w:p>
    <w:p>
      <w:pPr>
        <w:spacing w:after="0" w:line="185"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On April 14, 2015, our registration statement on Form S-1 (File No. 333-201813) was declared effective by the Securities and Exchange Commission for our initial public offering pursuant to which we sold an aggregate of 4,000,000 shares of our common stock to investors at a price of $19.00 per share. W.R. Hambrecht + Co., Inc. acted as the sole underwriter. The offering commenced as of April 14, 2015 and did not terminate before all of the securities registered in the registration statement were sold. On April 17, 2015, we closed the sale of such shares, resulting in net proceeds to us of approximately $70.6 million after deducting underwriting discounts and commissions of $3.8 million and other offering expenses of approximately $1.6 million. No payments were made by us to directors, officers or persons owning ten percent or more of our common stock or to their associates, or to our affiliates.</w:t>
      </w:r>
    </w:p>
    <w:p>
      <w:pPr>
        <w:spacing w:after="0" w:line="138"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final prospectus filed with the Securities and Exchange Commission on April 16, 2015 pursuant to Rule 424(b). We are holding the balance of the net proceeds from the IPO in a bank account at CIBC USD account.</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3" w:name="page24"/>
    <w:bookmarkEnd w:id="23"/>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9800" w:type="dxa"/>
            <w:vAlign w:val="bottom"/>
          </w:tcPr>
          <w:p>
            <w:pPr>
              <w:spacing w:after="0"/>
              <w:rPr>
                <w:sz w:val="20"/>
                <w:szCs w:val="20"/>
                <w:color w:val="auto"/>
              </w:rPr>
            </w:pPr>
          </w:p>
        </w:tc>
      </w:tr>
      <w:tr>
        <w:trPr>
          <w:trHeight w:val="310"/>
        </w:trPr>
        <w:tc>
          <w:tcPr>
            <w:tcW w:w="1560" w:type="dxa"/>
            <w:vAlign w:val="bottom"/>
          </w:tcPr>
          <w:p>
            <w:pPr>
              <w:jc w:val="center"/>
              <w:ind w:left="70"/>
              <w:spacing w:after="0"/>
              <w:rPr>
                <w:sz w:val="20"/>
                <w:szCs w:val="20"/>
                <w:color w:val="auto"/>
              </w:rPr>
            </w:pPr>
            <w:r>
              <w:rPr>
                <w:rFonts w:ascii="Arial" w:cs="Arial" w:eastAsia="Arial" w:hAnsi="Arial"/>
                <w:sz w:val="18"/>
                <w:szCs w:val="18"/>
                <w:color w:val="auto"/>
                <w:w w:val="95"/>
              </w:rPr>
              <w:t>31.1*</w:t>
            </w:r>
          </w:p>
        </w:tc>
        <w:tc>
          <w:tcPr>
            <w:tcW w:w="9800" w:type="dxa"/>
            <w:vAlign w:val="bottom"/>
          </w:tcPr>
          <w:p>
            <w:pPr>
              <w:ind w:left="160"/>
              <w:spacing w:after="0"/>
              <w:rPr>
                <w:sz w:val="20"/>
                <w:szCs w:val="20"/>
                <w:color w:val="auto"/>
              </w:rPr>
            </w:pPr>
            <w:r>
              <w:rPr>
                <w:rFonts w:ascii="Arial" w:cs="Arial" w:eastAsia="Arial" w:hAnsi="Arial"/>
                <w:sz w:val="18"/>
                <w:szCs w:val="18"/>
                <w:color w:val="auto"/>
                <w:w w:val="91"/>
              </w:rPr>
              <w:t>Certification of Principal Executive Officer Required Under Rule 13a-14(a) and 15d-14(a) of the Securities Exchange Act of 1934, as</w:t>
            </w:r>
          </w:p>
        </w:tc>
      </w:tr>
      <w:tr>
        <w:trPr>
          <w:trHeight w:val="230"/>
        </w:trPr>
        <w:tc>
          <w:tcPr>
            <w:tcW w:w="1560" w:type="dxa"/>
            <w:vAlign w:val="bottom"/>
          </w:tcPr>
          <w:p>
            <w:pPr>
              <w:spacing w:after="0"/>
              <w:rPr>
                <w:sz w:val="20"/>
                <w:szCs w:val="20"/>
                <w:color w:val="auto"/>
              </w:rPr>
            </w:pPr>
          </w:p>
        </w:tc>
        <w:tc>
          <w:tcPr>
            <w:tcW w:w="9800" w:type="dxa"/>
            <w:vAlign w:val="bottom"/>
          </w:tcPr>
          <w:p>
            <w:pPr>
              <w:ind w:left="160"/>
              <w:spacing w:after="0"/>
              <w:rPr>
                <w:sz w:val="20"/>
                <w:szCs w:val="20"/>
                <w:color w:val="auto"/>
              </w:rPr>
            </w:pPr>
            <w:r>
              <w:rPr>
                <w:rFonts w:ascii="Arial" w:cs="Arial" w:eastAsia="Arial" w:hAnsi="Arial"/>
                <w:sz w:val="18"/>
                <w:szCs w:val="18"/>
                <w:color w:val="auto"/>
              </w:rPr>
              <w:t>amended.</w:t>
            </w:r>
          </w:p>
        </w:tc>
      </w:tr>
      <w:tr>
        <w:trPr>
          <w:trHeight w:val="418"/>
        </w:trPr>
        <w:tc>
          <w:tcPr>
            <w:tcW w:w="1560" w:type="dxa"/>
            <w:vAlign w:val="bottom"/>
          </w:tcPr>
          <w:p>
            <w:pPr>
              <w:jc w:val="center"/>
              <w:ind w:left="70"/>
              <w:spacing w:after="0"/>
              <w:rPr>
                <w:sz w:val="20"/>
                <w:szCs w:val="20"/>
                <w:color w:val="auto"/>
              </w:rPr>
            </w:pPr>
            <w:r>
              <w:rPr>
                <w:rFonts w:ascii="Arial" w:cs="Arial" w:eastAsia="Arial" w:hAnsi="Arial"/>
                <w:sz w:val="18"/>
                <w:szCs w:val="18"/>
                <w:color w:val="auto"/>
                <w:w w:val="95"/>
              </w:rPr>
              <w:t>31.2*</w:t>
            </w:r>
          </w:p>
        </w:tc>
        <w:tc>
          <w:tcPr>
            <w:tcW w:w="9800" w:type="dxa"/>
            <w:vAlign w:val="bottom"/>
          </w:tcPr>
          <w:p>
            <w:pPr>
              <w:ind w:left="160"/>
              <w:spacing w:after="0"/>
              <w:rPr>
                <w:sz w:val="20"/>
                <w:szCs w:val="20"/>
                <w:color w:val="auto"/>
              </w:rPr>
            </w:pPr>
            <w:r>
              <w:rPr>
                <w:rFonts w:ascii="Arial" w:cs="Arial" w:eastAsia="Arial" w:hAnsi="Arial"/>
                <w:sz w:val="18"/>
                <w:szCs w:val="18"/>
                <w:color w:val="auto"/>
                <w:w w:val="92"/>
              </w:rPr>
              <w:t>Certification of Principal Financial Officer Required Under Rule 13a-14(a) and 15d-14(a) of the Securities Exchange Act of 1934, as</w:t>
            </w:r>
          </w:p>
        </w:tc>
      </w:tr>
      <w:tr>
        <w:trPr>
          <w:trHeight w:val="230"/>
        </w:trPr>
        <w:tc>
          <w:tcPr>
            <w:tcW w:w="1560" w:type="dxa"/>
            <w:vAlign w:val="bottom"/>
          </w:tcPr>
          <w:p>
            <w:pPr>
              <w:spacing w:after="0"/>
              <w:rPr>
                <w:sz w:val="20"/>
                <w:szCs w:val="20"/>
                <w:color w:val="auto"/>
              </w:rPr>
            </w:pPr>
          </w:p>
        </w:tc>
        <w:tc>
          <w:tcPr>
            <w:tcW w:w="9800" w:type="dxa"/>
            <w:vAlign w:val="bottom"/>
          </w:tcPr>
          <w:p>
            <w:pPr>
              <w:ind w:left="160"/>
              <w:spacing w:after="0"/>
              <w:rPr>
                <w:sz w:val="20"/>
                <w:szCs w:val="20"/>
                <w:color w:val="auto"/>
              </w:rPr>
            </w:pPr>
            <w:r>
              <w:rPr>
                <w:rFonts w:ascii="Arial" w:cs="Arial" w:eastAsia="Arial" w:hAnsi="Arial"/>
                <w:sz w:val="18"/>
                <w:szCs w:val="18"/>
                <w:color w:val="auto"/>
              </w:rPr>
              <w:t>amended.</w:t>
            </w:r>
          </w:p>
        </w:tc>
      </w:tr>
      <w:tr>
        <w:trPr>
          <w:trHeight w:val="418"/>
        </w:trPr>
        <w:tc>
          <w:tcPr>
            <w:tcW w:w="1560" w:type="dxa"/>
            <w:vAlign w:val="bottom"/>
          </w:tcPr>
          <w:p>
            <w:pPr>
              <w:jc w:val="center"/>
              <w:ind w:left="90"/>
              <w:spacing w:after="0"/>
              <w:rPr>
                <w:sz w:val="20"/>
                <w:szCs w:val="20"/>
                <w:color w:val="auto"/>
              </w:rPr>
            </w:pPr>
            <w:r>
              <w:rPr>
                <w:rFonts w:ascii="Arial" w:cs="Arial" w:eastAsia="Arial" w:hAnsi="Arial"/>
                <w:sz w:val="18"/>
                <w:szCs w:val="18"/>
                <w:color w:val="auto"/>
              </w:rPr>
              <w:t>32.1**</w:t>
            </w:r>
          </w:p>
        </w:tc>
        <w:tc>
          <w:tcPr>
            <w:tcW w:w="9800" w:type="dxa"/>
            <w:vAlign w:val="bottom"/>
          </w:tcPr>
          <w:p>
            <w:pPr>
              <w:ind w:left="160"/>
              <w:spacing w:after="0"/>
              <w:rPr>
                <w:sz w:val="20"/>
                <w:szCs w:val="20"/>
                <w:color w:val="auto"/>
              </w:rPr>
            </w:pPr>
            <w:r>
              <w:rPr>
                <w:rFonts w:ascii="Arial" w:cs="Arial" w:eastAsia="Arial" w:hAnsi="Arial"/>
                <w:sz w:val="18"/>
                <w:szCs w:val="18"/>
                <w:color w:val="auto"/>
                <w:w w:val="99"/>
              </w:rPr>
              <w:t>Certification of Principal Executive Officer and Principal Financial Officer Required Under Rule 13a-14(b) of the Securities</w:t>
            </w:r>
          </w:p>
        </w:tc>
      </w:tr>
      <w:tr>
        <w:trPr>
          <w:trHeight w:val="230"/>
        </w:trPr>
        <w:tc>
          <w:tcPr>
            <w:tcW w:w="1560" w:type="dxa"/>
            <w:vAlign w:val="bottom"/>
          </w:tcPr>
          <w:p>
            <w:pPr>
              <w:spacing w:after="0"/>
              <w:rPr>
                <w:sz w:val="20"/>
                <w:szCs w:val="20"/>
                <w:color w:val="auto"/>
              </w:rPr>
            </w:pPr>
          </w:p>
        </w:tc>
        <w:tc>
          <w:tcPr>
            <w:tcW w:w="9800" w:type="dxa"/>
            <w:vAlign w:val="bottom"/>
          </w:tcPr>
          <w:p>
            <w:pPr>
              <w:ind w:left="160"/>
              <w:spacing w:after="0"/>
              <w:rPr>
                <w:sz w:val="20"/>
                <w:szCs w:val="20"/>
                <w:color w:val="auto"/>
              </w:rPr>
            </w:pPr>
            <w:r>
              <w:rPr>
                <w:rFonts w:ascii="Arial" w:cs="Arial" w:eastAsia="Arial" w:hAnsi="Arial"/>
                <w:sz w:val="18"/>
                <w:szCs w:val="18"/>
                <w:color w:val="auto"/>
              </w:rPr>
              <w:t>Exchange Act of 1934, as amended, and 18 U.S.C. §1350.</w:t>
            </w:r>
          </w:p>
        </w:tc>
      </w:tr>
      <w:tr>
        <w:trPr>
          <w:trHeight w:val="432"/>
        </w:trPr>
        <w:tc>
          <w:tcPr>
            <w:tcW w:w="1560" w:type="dxa"/>
            <w:vAlign w:val="bottom"/>
          </w:tcPr>
          <w:p>
            <w:pPr>
              <w:jc w:val="center"/>
              <w:ind w:left="90"/>
              <w:spacing w:after="0"/>
              <w:rPr>
                <w:sz w:val="20"/>
                <w:szCs w:val="20"/>
                <w:color w:val="auto"/>
              </w:rPr>
            </w:pPr>
            <w:r>
              <w:rPr>
                <w:rFonts w:ascii="Arial" w:cs="Arial" w:eastAsia="Arial" w:hAnsi="Arial"/>
                <w:sz w:val="18"/>
                <w:szCs w:val="18"/>
                <w:color w:val="auto"/>
                <w:w w:val="97"/>
              </w:rPr>
              <w:t>101.INS*</w:t>
            </w:r>
          </w:p>
        </w:tc>
        <w:tc>
          <w:tcPr>
            <w:tcW w:w="980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1560" w:type="dxa"/>
            <w:vAlign w:val="bottom"/>
          </w:tcPr>
          <w:p>
            <w:pPr>
              <w:jc w:val="center"/>
              <w:ind w:left="70"/>
              <w:spacing w:after="0"/>
              <w:rPr>
                <w:sz w:val="20"/>
                <w:szCs w:val="20"/>
                <w:color w:val="auto"/>
              </w:rPr>
            </w:pPr>
            <w:r>
              <w:rPr>
                <w:rFonts w:ascii="Arial" w:cs="Arial" w:eastAsia="Arial" w:hAnsi="Arial"/>
                <w:sz w:val="18"/>
                <w:szCs w:val="18"/>
                <w:color w:val="auto"/>
                <w:w w:val="94"/>
              </w:rPr>
              <w:t>101.SCH*</w:t>
            </w:r>
          </w:p>
        </w:tc>
        <w:tc>
          <w:tcPr>
            <w:tcW w:w="98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560" w:type="dxa"/>
            <w:vAlign w:val="bottom"/>
          </w:tcPr>
          <w:p>
            <w:pPr>
              <w:jc w:val="center"/>
              <w:ind w:left="70"/>
              <w:spacing w:after="0"/>
              <w:rPr>
                <w:sz w:val="20"/>
                <w:szCs w:val="20"/>
                <w:color w:val="auto"/>
              </w:rPr>
            </w:pPr>
            <w:r>
              <w:rPr>
                <w:rFonts w:ascii="Arial" w:cs="Arial" w:eastAsia="Arial" w:hAnsi="Arial"/>
                <w:sz w:val="18"/>
                <w:szCs w:val="18"/>
                <w:color w:val="auto"/>
                <w:w w:val="98"/>
              </w:rPr>
              <w:t>101.CAL*</w:t>
            </w:r>
          </w:p>
        </w:tc>
        <w:tc>
          <w:tcPr>
            <w:tcW w:w="980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560" w:type="dxa"/>
            <w:vAlign w:val="bottom"/>
          </w:tcPr>
          <w:p>
            <w:pPr>
              <w:jc w:val="center"/>
              <w:ind w:left="90"/>
              <w:spacing w:after="0"/>
              <w:rPr>
                <w:sz w:val="20"/>
                <w:szCs w:val="20"/>
                <w:color w:val="auto"/>
              </w:rPr>
            </w:pPr>
            <w:r>
              <w:rPr>
                <w:rFonts w:ascii="Arial" w:cs="Arial" w:eastAsia="Arial" w:hAnsi="Arial"/>
                <w:sz w:val="18"/>
                <w:szCs w:val="18"/>
                <w:color w:val="auto"/>
                <w:w w:val="94"/>
              </w:rPr>
              <w:t>101.DEF*</w:t>
            </w:r>
          </w:p>
        </w:tc>
        <w:tc>
          <w:tcPr>
            <w:tcW w:w="980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560" w:type="dxa"/>
            <w:vAlign w:val="bottom"/>
          </w:tcPr>
          <w:p>
            <w:pPr>
              <w:jc w:val="center"/>
              <w:ind w:left="70"/>
              <w:spacing w:after="0"/>
              <w:rPr>
                <w:sz w:val="20"/>
                <w:szCs w:val="20"/>
                <w:color w:val="auto"/>
              </w:rPr>
            </w:pPr>
            <w:r>
              <w:rPr>
                <w:rFonts w:ascii="Arial" w:cs="Arial" w:eastAsia="Arial" w:hAnsi="Arial"/>
                <w:sz w:val="18"/>
                <w:szCs w:val="18"/>
                <w:color w:val="auto"/>
                <w:w w:val="99"/>
              </w:rPr>
              <w:t>101.LAB*</w:t>
            </w:r>
          </w:p>
        </w:tc>
        <w:tc>
          <w:tcPr>
            <w:tcW w:w="980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560" w:type="dxa"/>
            <w:vAlign w:val="bottom"/>
          </w:tcPr>
          <w:p>
            <w:pPr>
              <w:jc w:val="center"/>
              <w:ind w:left="90"/>
              <w:spacing w:after="0"/>
              <w:rPr>
                <w:sz w:val="20"/>
                <w:szCs w:val="20"/>
                <w:color w:val="auto"/>
              </w:rPr>
            </w:pPr>
            <w:r>
              <w:rPr>
                <w:rFonts w:ascii="Arial" w:cs="Arial" w:eastAsia="Arial" w:hAnsi="Arial"/>
                <w:sz w:val="18"/>
                <w:szCs w:val="18"/>
                <w:color w:val="auto"/>
                <w:w w:val="93"/>
              </w:rPr>
              <w:t>101.PRE*</w:t>
            </w:r>
          </w:p>
        </w:tc>
        <w:tc>
          <w:tcPr>
            <w:tcW w:w="98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*Exhibits filed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**Exhibits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24" w:name="page25"/>
    <w:bookmarkEnd w:id="24"/>
    <w:p>
      <w:pPr>
        <w:ind w:left="50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8"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8"/>
                <w:szCs w:val="18"/>
                <w:color w:val="auto"/>
              </w:rPr>
              <w:t>Date: November 13, 2015</w:t>
            </w:r>
          </w:p>
        </w:tc>
        <w:tc>
          <w:tcPr>
            <w:tcW w:w="7320" w:type="dxa"/>
            <w:vAlign w:val="bottom"/>
            <w:gridSpan w:val="2"/>
          </w:tcPr>
          <w:p>
            <w:pPr>
              <w:ind w:left="1620"/>
              <w:spacing w:after="0"/>
              <w:rPr>
                <w:sz w:val="20"/>
                <w:szCs w:val="20"/>
                <w:color w:val="auto"/>
              </w:rPr>
            </w:pPr>
            <w:r>
              <w:rPr>
                <w:rFonts w:ascii="Arial" w:cs="Arial" w:eastAsia="Arial" w:hAnsi="Arial"/>
                <w:sz w:val="18"/>
                <w:szCs w:val="18"/>
                <w:b w:val="1"/>
                <w:bCs w:val="1"/>
                <w:color w:val="auto"/>
              </w:rPr>
              <w:t>XBIOTECH INC.</w:t>
            </w:r>
          </w:p>
        </w:tc>
      </w:tr>
      <w:tr>
        <w:trPr>
          <w:trHeight w:val="648"/>
        </w:trPr>
        <w:tc>
          <w:tcPr>
            <w:tcW w:w="3560" w:type="dxa"/>
            <w:vAlign w:val="bottom"/>
          </w:tcPr>
          <w:p>
            <w:pPr>
              <w:spacing w:after="0"/>
              <w:rPr>
                <w:sz w:val="24"/>
                <w:szCs w:val="24"/>
                <w:color w:val="auto"/>
              </w:rPr>
            </w:pPr>
          </w:p>
        </w:tc>
        <w:tc>
          <w:tcPr>
            <w:tcW w:w="2180" w:type="dxa"/>
            <w:vAlign w:val="bottom"/>
          </w:tcPr>
          <w:p>
            <w:pPr>
              <w:ind w:left="16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Simard</w:t>
            </w:r>
          </w:p>
        </w:tc>
      </w:tr>
      <w:tr>
        <w:trPr>
          <w:trHeight w:val="195"/>
        </w:trPr>
        <w:tc>
          <w:tcPr>
            <w:tcW w:w="3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3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3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November 13, 2015</w:t>
            </w:r>
          </w:p>
        </w:tc>
        <w:tc>
          <w:tcPr>
            <w:tcW w:w="2180" w:type="dxa"/>
            <w:vAlign w:val="bottom"/>
          </w:tcPr>
          <w:p>
            <w:pPr>
              <w:ind w:left="16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Queena Han</w:t>
            </w:r>
          </w:p>
        </w:tc>
      </w:tr>
      <w:tr>
        <w:trPr>
          <w:trHeight w:val="195"/>
        </w:trPr>
        <w:tc>
          <w:tcPr>
            <w:tcW w:w="3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Queena Han</w:t>
            </w:r>
          </w:p>
        </w:tc>
      </w:tr>
      <w:tr>
        <w:trPr>
          <w:trHeight w:val="216"/>
        </w:trPr>
        <w:tc>
          <w:tcPr>
            <w:tcW w:w="3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Finance and Human Resources, and Secretary</w:t>
            </w:r>
          </w:p>
        </w:tc>
      </w:tr>
      <w:tr>
        <w:trPr>
          <w:trHeight w:val="230"/>
        </w:trPr>
        <w:tc>
          <w:tcPr>
            <w:tcW w:w="3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9240" w:type="dxa"/>
            <w:vAlign w:val="bottom"/>
          </w:tcPr>
          <w:p>
            <w:pPr>
              <w:spacing w:after="0"/>
              <w:rPr>
                <w:sz w:val="20"/>
                <w:szCs w:val="20"/>
                <w:color w:val="auto"/>
              </w:rPr>
            </w:pPr>
          </w:p>
        </w:tc>
      </w:tr>
      <w:tr>
        <w:trPr>
          <w:trHeight w:val="797"/>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24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11"/>
        </w:trPr>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92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Certification of Principal Executive Officer Required Under Rule 13a-14(a) and 15d-14(a) of the Securities Exchange Act of</w:t>
            </w: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1934, as amended.</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5"/>
              </w:rPr>
              <w:t>Certification of Principal Financial Officer Required Under Rule 13a-14(a) and 15d-14(a) of the Securities Exchange Act of</w:t>
            </w: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1934, as amended.</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w w:val="95"/>
              </w:rPr>
              <w:t>Certification of Principal Executive Officer and Principal Financial Officer Required Under Rule 13a-14(b) of the Securities</w:t>
            </w:r>
          </w:p>
        </w:tc>
      </w:tr>
      <w:tr>
        <w:trPr>
          <w:trHeight w:val="230"/>
        </w:trPr>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Exchange Act of 1934, as amended, and 18 U.S.C. §1350.</w:t>
            </w:r>
          </w:p>
        </w:tc>
      </w:tr>
      <w:tr>
        <w:trPr>
          <w:trHeight w:val="432"/>
        </w:trPr>
        <w:tc>
          <w:tcPr>
            <w:tcW w:w="2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2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2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2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2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2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2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2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2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24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2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2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61" w:lineRule="exact"/>
        <w:rPr>
          <w:sz w:val="20"/>
          <w:szCs w:val="20"/>
          <w:color w:val="auto"/>
        </w:rPr>
      </w:pPr>
    </w:p>
    <w:p>
      <w:pPr>
        <w:ind w:right="9180" w:firstLine="8"/>
        <w:spacing w:after="0" w:line="540" w:lineRule="auto"/>
        <w:tabs>
          <w:tab w:leader="none" w:pos="135" w:val="left"/>
        </w:tabs>
        <w:numPr>
          <w:ilvl w:val="0"/>
          <w:numId w:val="9"/>
        </w:numPr>
        <w:rPr>
          <w:rFonts w:ascii="Arial" w:cs="Arial" w:eastAsia="Arial" w:hAnsi="Arial"/>
          <w:sz w:val="17"/>
          <w:szCs w:val="17"/>
          <w:color w:val="auto"/>
        </w:rPr>
      </w:pPr>
      <w:r>
        <w:rPr>
          <w:rFonts w:ascii="Arial" w:cs="Arial" w:eastAsia="Arial" w:hAnsi="Arial"/>
          <w:sz w:val="17"/>
          <w:szCs w:val="17"/>
          <w:color w:val="auto"/>
        </w:rPr>
        <w:t>Exhibits filed herewith. **Exhibits furnished herewith.</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18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18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980" w:right="300" w:hanging="324"/>
        <w:spacing w:after="0" w:line="264" w:lineRule="auto"/>
        <w:tabs>
          <w:tab w:leader="none" w:pos="9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720" w:hanging="324"/>
        <w:spacing w:after="0" w:line="342" w:lineRule="auto"/>
        <w:tabs>
          <w:tab w:leader="none" w:pos="911"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300" w:hanging="324"/>
        <w:spacing w:after="0" w:line="264" w:lineRule="auto"/>
        <w:tabs>
          <w:tab w:leader="none" w:pos="9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980" w:right="200" w:hanging="324"/>
        <w:spacing w:after="0" w:line="308" w:lineRule="auto"/>
        <w:tabs>
          <w:tab w:leader="none" w:pos="901"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1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2015</w:t>
      </w:r>
    </w:p>
    <w:p>
      <w:pPr>
        <w:spacing w:after="0" w:line="198" w:lineRule="exact"/>
        <w:rPr>
          <w:sz w:val="20"/>
          <w:szCs w:val="20"/>
          <w:color w:val="auto"/>
        </w:rPr>
      </w:pPr>
    </w:p>
    <w:p>
      <w:pPr>
        <w:ind w:left="4320"/>
        <w:spacing w:after="0"/>
        <w:rPr>
          <w:sz w:val="20"/>
          <w:szCs w:val="20"/>
          <w:color w:val="auto"/>
        </w:rPr>
      </w:pPr>
      <w:r>
        <w:rPr>
          <w:rFonts w:ascii="Arial" w:cs="Arial" w:eastAsia="Arial" w:hAnsi="Arial"/>
          <w:sz w:val="18"/>
          <w:szCs w:val="18"/>
          <w:u w:val="single" w:color="auto"/>
          <w:color w:val="auto"/>
        </w:rPr>
        <w:t>/s/ John Simard</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18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18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980" w:right="300" w:hanging="324"/>
        <w:spacing w:after="0" w:line="264" w:lineRule="auto"/>
        <w:tabs>
          <w:tab w:leader="none" w:pos="90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720" w:hanging="324"/>
        <w:spacing w:after="0" w:line="342" w:lineRule="auto"/>
        <w:tabs>
          <w:tab w:leader="none" w:pos="91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300" w:hanging="324"/>
        <w:spacing w:after="0" w:line="264" w:lineRule="auto"/>
        <w:tabs>
          <w:tab w:leader="none" w:pos="90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980" w:right="200" w:hanging="324"/>
        <w:spacing w:after="0" w:line="308" w:lineRule="auto"/>
        <w:tabs>
          <w:tab w:leader="none" w:pos="901"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1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2015</w:t>
      </w:r>
    </w:p>
    <w:p>
      <w:pPr>
        <w:spacing w:after="0" w:line="198" w:lineRule="exact"/>
        <w:rPr>
          <w:sz w:val="20"/>
          <w:szCs w:val="20"/>
          <w:color w:val="auto"/>
        </w:rPr>
      </w:pPr>
    </w:p>
    <w:p>
      <w:pPr>
        <w:ind w:left="4320"/>
        <w:spacing w:after="0"/>
        <w:rPr>
          <w:sz w:val="20"/>
          <w:szCs w:val="20"/>
          <w:color w:val="auto"/>
        </w:rPr>
      </w:pPr>
      <w:r>
        <w:rPr>
          <w:rFonts w:ascii="Arial" w:cs="Arial" w:eastAsia="Arial" w:hAnsi="Arial"/>
          <w:sz w:val="18"/>
          <w:szCs w:val="18"/>
          <w:u w:val="single" w:color="auto"/>
          <w:color w:val="auto"/>
        </w:rPr>
        <w:t>/s/Queena Han</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 18 U.S.C. SECTION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September 30, 2015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25" w:lineRule="exact"/>
        <w:rPr>
          <w:sz w:val="20"/>
          <w:szCs w:val="20"/>
          <w:color w:val="auto"/>
        </w:rPr>
      </w:pPr>
    </w:p>
    <w:p>
      <w:pPr>
        <w:ind w:left="920" w:hanging="264"/>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20" w:hanging="264"/>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17" w:lineRule="exact"/>
        <w:rPr>
          <w:sz w:val="20"/>
          <w:szCs w:val="20"/>
          <w:color w:val="auto"/>
        </w:rPr>
      </w:pPr>
    </w:p>
    <w:p>
      <w:pPr>
        <w:ind w:left="4320"/>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b w:val="1"/>
          <w:bCs w:val="1"/>
          <w:u w:val="single" w:color="auto"/>
          <w:color w:val="auto"/>
        </w:rPr>
        <w:t>JOHN SIMARD</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Date: November 13, 2015</w:t>
      </w:r>
    </w:p>
    <w:p>
      <w:pPr>
        <w:spacing w:after="0" w:line="38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September 30, 2015,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25" w:lineRule="exact"/>
        <w:rPr>
          <w:sz w:val="20"/>
          <w:szCs w:val="20"/>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04" w:lineRule="exact"/>
        <w:rPr>
          <w:sz w:val="20"/>
          <w:szCs w:val="20"/>
          <w:color w:val="auto"/>
        </w:rPr>
      </w:pPr>
    </w:p>
    <w:p>
      <w:pPr>
        <w:ind w:left="432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Date: November 13, 2015</w:t>
      </w:r>
    </w:p>
    <w:p>
      <w:pPr>
        <w:spacing w:after="0" w:line="38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XBiotech Inc. under the Securities Act of 1933, as amended, or the Exchange Act, whether made before or after the date hereof, regardless of any general incorporation language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2019-12-29T13:51:07Z</dcterms:created>
  <dcterms:modified xsi:type="dcterms:W3CDTF">2019-12-29T13:51:07Z</dcterms:modified>
</cp:coreProperties>
</file>