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right"/>
        <w:ind w:left="3820" w:right="3780" w:hanging="3812"/>
        <w:spacing w:after="0" w:line="530" w:lineRule="auto"/>
        <w:tabs>
          <w:tab w:leader="none" w:pos="69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220" w:right="3760" w:hanging="4212"/>
        <w:spacing w:after="0" w:line="484" w:lineRule="auto"/>
        <w:tabs>
          <w:tab w:leader="none" w:pos="67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001-37347</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XBIOTECH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902" w:right="339" w:bottom="1440" w:gutter="0" w:footer="0" w:header="0"/>
        </w:sectPr>
      </w:pPr>
    </w:p>
    <w:p>
      <w:pPr>
        <w:spacing w:after="0" w:line="20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__</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902"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5217 Winnebago Ln, Austin, TX 78744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(512) 386-2900</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no par value</w:t>
            </w:r>
          </w:p>
        </w:tc>
        <w:tc>
          <w:tcPr>
            <w:tcW w:w="25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XBIT</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4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w:t>
            </w:r>
          </w:p>
        </w:tc>
        <w:tc>
          <w:tcPr>
            <w:tcW w:w="4380" w:type="dxa"/>
            <w:vAlign w:val="bottom"/>
          </w:tcPr>
          <w:p>
            <w:pPr>
              <w:spacing w:after="0"/>
              <w:rPr>
                <w:sz w:val="24"/>
                <w:szCs w:val="24"/>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902" w:right="339" w:bottom="1440"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14, 2026, there were 30,487,731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180" w:type="dxa"/>
            <w:vAlign w:val="bottom"/>
            <w:gridSpan w:val="11"/>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(unaudited) and December 31, 2025</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(unaudited) and 2025 (unaudited)</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 March 31, 2026 (unaudited) and 2025</w:t>
            </w:r>
          </w:p>
        </w:tc>
        <w:tc>
          <w:tcPr>
            <w:tcW w:w="6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40" w:type="dxa"/>
            <w:vAlign w:val="bottom"/>
            <w:gridSpan w:val="19"/>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40" w:type="dxa"/>
            <w:vAlign w:val="bottom"/>
            <w:gridSpan w:val="19"/>
            <w:vMerge w:val="continue"/>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(unaudited) and 2025 (unaudited)</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gridSpan w:val="2"/>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PART II</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OTHER INFORMATION</w:t>
            </w:r>
          </w:p>
        </w:tc>
        <w:tc>
          <w:tcPr>
            <w:tcW w:w="316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1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29" w:lineRule="exact"/>
        <w:rPr>
          <w:sz w:val="20"/>
          <w:szCs w:val="20"/>
          <w:color w:val="auto"/>
        </w:rPr>
      </w:pPr>
    </w:p>
    <w:p>
      <w:pPr>
        <w:ind w:firstLine="55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regulatory approval to market and sell our product candidates in the United States, Europe and elsewhere;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initiation, timing, cost, progress and success of our research and development programs, preclinical studies and clinical trials for our product candidates;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the sale of our product candidates in the United States, Europe and elsewhere;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recruit sufficient numbers of patients for our future clinical trials for our pharmaceutical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implementation of our business model and strategic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develop and commercialize product candidates for orphan and niche indications independently;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commercialization, marketing and manufacturing capabilities and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protect our intellectual property and operate our business without infringing upon the intellectual property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federal, state and foreign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therapeutic benefits, effectiveness and safety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accuracy of our estimates of the size and characteristics of the markets that may be addressed by our products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rate and degree of market acceptance and clinical utility of our future products, if any;</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market risk, including interest rate changes, foreign currency fluctuations and regional or global economic impacts caused by public health threats, such as the outbreak of coronavirus or other infectious diseases;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engage and retain the employees required to grow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financial performance and projected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relating to our competitors and our industry, including the success of competing therapies that are or become available;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estimates of our expenses, future revenue, capital requirements and our needs for additional financing.</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4" w:name="page5"/>
    <w:bookmarkEnd w:id="4"/>
    <w:p>
      <w:pPr>
        <w:ind w:firstLine="486"/>
        <w:spacing w:after="0" w:line="254" w:lineRule="auto"/>
        <w:rPr>
          <w:sz w:val="20"/>
          <w:szCs w:val="20"/>
          <w:color w:val="auto"/>
        </w:rPr>
      </w:pPr>
      <w:r>
        <w:rPr>
          <w:rFonts w:ascii="Times New Roman" w:cs="Times New Roman" w:eastAsia="Times New Roman" w:hAnsi="Times New Roman"/>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2025 filed with the SEC on March 13, 2026, and under the heading “Risk Factors”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XBiotech Inc.</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4"/>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117,049</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126,953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22,787</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23,129</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139,836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150,082</w:t>
            </w: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2,035</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1,815</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9,732</w:t>
            </w: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no par value, unlimited shares authorized, no shares outstanding</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unlimited shares authorized, 30,487,731 shares issued and outstanding at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276,899</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276,727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(141,882)</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(136,377)</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135,017</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140,350</w:t>
            </w: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150,082</w:t>
            </w:r>
          </w:p>
        </w:tc>
      </w:tr>
      <w:tr>
        <w:trPr>
          <w:trHeight w:val="413"/>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11,619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6,274</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13,550</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1,036</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818</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 and diluted</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30,487,731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30,487,731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6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30,487,731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276,727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140,350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30,487,731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276,899</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135,017</w:t>
            </w:r>
          </w:p>
        </w:tc>
      </w:tr>
      <w:tr>
        <w:trPr>
          <w:trHeight w:val="20"/>
        </w:trPr>
        <w:tc>
          <w:tcPr>
            <w:tcW w:w="4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6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30,487,731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273,105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182,268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30,487,731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276,434</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(101,721)</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174,713</w:t>
            </w:r>
          </w:p>
        </w:tc>
      </w:tr>
      <w:tr>
        <w:trPr>
          <w:trHeight w:val="20"/>
        </w:trPr>
        <w:tc>
          <w:tcPr>
            <w:tcW w:w="4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Permit refund of 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on from convertible loan, related party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on convertible loan, third party</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on cash and cash equivalents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10"/>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125,551</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172,677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115,459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155,897</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60" w:firstLine="540"/>
        <w:spacing w:after="0" w:line="282" w:lineRule="auto"/>
        <w:rPr>
          <w:sz w:val="20"/>
          <w:szCs w:val="20"/>
          <w:color w:val="auto"/>
        </w:rPr>
      </w:pPr>
      <w:r>
        <w:rPr>
          <w:rFonts w:ascii="Times New Roman" w:cs="Times New Roman" w:eastAsia="Times New Roman" w:hAnsi="Times New Roman"/>
          <w:sz w:val="18"/>
          <w:szCs w:val="18"/>
          <w:color w:val="auto"/>
        </w:rPr>
        <w:t>XBiotech Inc. (“XBiotech” or the “Company”) was incorporated in Canada on March 22, 2005. The Company’s headquarters are located in Austin, Texas. XBiotech USA, Inc., a wholly-owned subsidiary of the Company, was incorporated in Delaware, United States in November 2007.</w:t>
      </w:r>
    </w:p>
    <w:p>
      <w:pPr>
        <w:spacing w:after="0" w:line="162" w:lineRule="exact"/>
        <w:rPr>
          <w:sz w:val="20"/>
          <w:szCs w:val="20"/>
          <w:color w:val="auto"/>
        </w:rPr>
      </w:pPr>
    </w:p>
    <w:p>
      <w:pPr>
        <w:ind w:right="100" w:firstLine="540"/>
        <w:spacing w:after="0" w:line="266" w:lineRule="auto"/>
        <w:rPr>
          <w:sz w:val="20"/>
          <w:szCs w:val="20"/>
          <w:color w:val="auto"/>
        </w:rPr>
      </w:pPr>
      <w:r>
        <w:rPr>
          <w:rFonts w:ascii="Times New Roman" w:cs="Times New Roman" w:eastAsia="Times New Roman" w:hAnsi="Times New Roman"/>
          <w:sz w:val="18"/>
          <w:szCs w:val="18"/>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 The Company has in its pipeline both anti-infective and anti-inflammatory candidate therapeutics derived from this technology.</w:t>
      </w:r>
    </w:p>
    <w:p>
      <w:pPr>
        <w:spacing w:after="0" w:line="176" w:lineRule="exact"/>
        <w:rPr>
          <w:sz w:val="20"/>
          <w:szCs w:val="20"/>
          <w:color w:val="auto"/>
        </w:rPr>
      </w:pPr>
    </w:p>
    <w:p>
      <w:pPr>
        <w:ind w:firstLine="540"/>
        <w:spacing w:after="0" w:line="261" w:lineRule="auto"/>
        <w:rPr>
          <w:sz w:val="20"/>
          <w:szCs w:val="20"/>
          <w:color w:val="auto"/>
        </w:rPr>
      </w:pPr>
      <w:r>
        <w:rPr>
          <w:rFonts w:ascii="Times New Roman" w:cs="Times New Roman" w:eastAsia="Times New Roman" w:hAnsi="Times New Roman"/>
          <w:sz w:val="18"/>
          <w:szCs w:val="18"/>
          <w:color w:val="auto"/>
        </w:rPr>
        <w:t>An area of medical focus for XBiotech are therapies that block a potent substance naturally produced by body, known as interleukin-1 alpha (IL-1a), that mediates tissue breakdown, angiogenesis, the formation of blood clots and inflammation. IL-1a is a protein that is on or in cells of the body and is involved in the body’s response to injury or trauma. In almost all chronic and in some acute injury scenarios (such as stroke or heart attack), IL-1a may mediate harmful disease-related activity.</w:t>
      </w:r>
    </w:p>
    <w:p>
      <w:pPr>
        <w:spacing w:after="0" w:line="180" w:lineRule="exact"/>
        <w:rPr>
          <w:sz w:val="20"/>
          <w:szCs w:val="20"/>
          <w:color w:val="auto"/>
        </w:rPr>
      </w:pPr>
    </w:p>
    <w:p>
      <w:pPr>
        <w:ind w:right="20" w:firstLine="540"/>
        <w:spacing w:after="0" w:line="253" w:lineRule="auto"/>
        <w:rPr>
          <w:sz w:val="20"/>
          <w:szCs w:val="20"/>
          <w:color w:val="auto"/>
        </w:rPr>
      </w:pPr>
      <w:r>
        <w:rPr>
          <w:rFonts w:ascii="Times New Roman" w:cs="Times New Roman" w:eastAsia="Times New Roman" w:hAnsi="Times New Roman"/>
          <w:sz w:val="18"/>
          <w:szCs w:val="18"/>
          <w:color w:val="auto"/>
        </w:rPr>
        <w:t>At the end of 2019, XBiotech sold a True Human™ antibody that blocked IL-1a activity for $750 million in cash and up to $600 million in potential milestone payments set to expire after twelve years in 2031 (the “Janssen Transaction”). The potential milestone payments are contingent upon achieving the required commercialization authorization for a product intended for use in any non-dermatological indication by Janssen within twelve years. As of March 31, 2026, none of the milestone payments have been earned. As part of the Janssen Transaction, XBiotech maintained the right to develop new antibodies that block IL-1a and develop these therapeutics in all areas of medicine except dermatology. Moreover, Janssen agreed that they would assert all patents they acquired relating to IL-1a for the benefit of XBiotech to protect our future IL-1a-related therapies in all non-dermatological</w:t>
      </w:r>
    </w:p>
    <w:p>
      <w:pPr>
        <w:spacing w:after="0" w:line="5"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indications. XBiotech is using its True Human™ antibody discovery technology to identify and develop new IL-1a targeting product candidates and has already brought one such candidate into clinical studies in oncology and rheumatology; and another unique anti-IL-1a antibody into a Phase I study in neurology. Company has successfully completed one Phase II clinical study in oncology and is engaging with the FDA to define the regulatory path forward, informed by historical approvals and ongoing dialogue with the Agency.</w:t>
      </w:r>
    </w:p>
    <w:p>
      <w:pPr>
        <w:spacing w:after="0" w:line="189"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common to companies in clinical stage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$115.5 million at March 31, 2026, will enable the Company to achieve several major inflection points, including completion of clinical studies with lead product candidates. The Company expects to have sufficient cash through at least 12 months from the date of this report.</w:t>
      </w:r>
    </w:p>
    <w:p>
      <w:pPr>
        <w:spacing w:after="0" w:line="200" w:lineRule="exact"/>
        <w:rPr>
          <w:sz w:val="20"/>
          <w:szCs w:val="20"/>
          <w:color w:val="auto"/>
        </w:rPr>
      </w:pPr>
    </w:p>
    <w:p>
      <w:pPr>
        <w:spacing w:after="0" w:line="228" w:lineRule="exact"/>
        <w:rPr>
          <w:sz w:val="20"/>
          <w:szCs w:val="20"/>
          <w:color w:val="auto"/>
        </w:rPr>
      </w:pPr>
    </w:p>
    <w:p>
      <w:pPr>
        <w:ind w:right="8360" w:firstLine="8"/>
        <w:spacing w:after="0" w:line="503" w:lineRule="auto"/>
        <w:tabs>
          <w:tab w:leader="none" w:pos="48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right="120" w:firstLine="540"/>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2026, the condensed consolidated statements of operation and shareholders’ equity, and cash flows for the three months ended March 31, 2026 and 2025 were prepared by management without audit. In the opinion of management, all adjustments, consisting only of normal recurring adjustments, except as otherwise disclosed, necessary for the fair presentation of the financial position, results of operations, and changes in financial position for such periods, have been made.</w:t>
      </w:r>
    </w:p>
    <w:p>
      <w:pPr>
        <w:spacing w:after="0" w:line="180"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(“U.S. GAAP”) have been condensed or omitted. These interim financial statements should be read in conjunction with the consolidated financial statements and notes thereto included in our Form 10-K for the year ended December 31, 2025. The results of operations for the period ended March 31, 2026 are not necessarily indicative of the operating results that may be expected for a full year. The condensed consolidated balance sheet as of December 31, 2025 contains financial information taken from the audited XBiotech Inc. consolidated financial statements as of that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ind w:right="960" w:firstLine="5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subsidiary. All significant intercompany transactions have been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5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20" w:firstLine="540"/>
        <w:spacing w:after="0" w:line="261" w:lineRule="auto"/>
        <w:rPr>
          <w:sz w:val="20"/>
          <w:szCs w:val="20"/>
          <w:color w:val="auto"/>
        </w:rPr>
      </w:pPr>
      <w:r>
        <w:rPr>
          <w:rFonts w:ascii="Times New Roman" w:cs="Times New Roman" w:eastAsia="Times New Roman" w:hAnsi="Times New Roman"/>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0" w:lineRule="exact"/>
        <w:rPr>
          <w:sz w:val="20"/>
          <w:szCs w:val="20"/>
          <w:color w:val="auto"/>
        </w:rPr>
      </w:pPr>
    </w:p>
    <w:p>
      <w:pPr>
        <w:ind w:right="160" w:firstLine="540"/>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229" w:lineRule="exact"/>
        <w:rPr>
          <w:sz w:val="20"/>
          <w:szCs w:val="20"/>
          <w:color w:val="auto"/>
        </w:rPr>
      </w:pPr>
    </w:p>
    <w:p>
      <w:pPr>
        <w:ind w:right="60" w:firstLine="540"/>
        <w:spacing w:after="0" w:line="256" w:lineRule="auto"/>
        <w:rPr>
          <w:sz w:val="20"/>
          <w:szCs w:val="20"/>
          <w:color w:val="auto"/>
        </w:rPr>
      </w:pPr>
      <w:r>
        <w:rPr>
          <w:rFonts w:ascii="Times New Roman" w:cs="Times New Roman" w:eastAsia="Times New Roman" w:hAnsi="Times New Roman"/>
          <w:sz w:val="18"/>
          <w:szCs w:val="18"/>
          <w:color w:val="auto"/>
        </w:rPr>
        <w:t>Expense accruals related to clinical trials are based on actual services received and efforts expended pursuant to contracts with third party service providers which conduct and manage clinical trials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The Company accrues costs based on the actual services rendered in the period over which services were performed and the level of effort expended in each period based upon patient enrollment, clinical site activations, or information provided to the Company by its vendors on their actual costs incurred. Any estimates of the level of services performed or the costs of these services could differ from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future tax consequences attributable to temporary differences between the financial statement carrying amounts of existing assets and liabilities and their respective tax bases. The Company measures deferred tax assets and liabilities using the enacted tax rates for the years and jurisdictions in which the temporary differences are expected to be recovered. A change to the tax rates used to measure the Company’s deferred taxes is recognized in income during the period in which the new rate(s) were enacted.</w:t>
      </w:r>
    </w:p>
    <w:p>
      <w:pPr>
        <w:spacing w:after="0" w:line="183"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the Company’s assets are more likely than not to be realized. In making such a determination, the Company considers all available positive and negative evidence, including the future reversals of existing taxable temporary differences, projected future taxable income exclusive of reversing temporary differences and carryforwards, tax-planning strategies, taxable income in prior carryback years if permitted under tax law, and the results from prior years. If the Company determines it is more likely than not, that all or a portion of a deferred tax asset will not be realized a valuation allowance is recorded with a charge to income tax expense. Alternatively, if the Company determines that all or a portion of a deferred tax asset previously not meeting the more likely than not threshold will be realized, the Company reduces its valuation allowance and recognizes a benefit in income tax expense.</w:t>
      </w:r>
    </w:p>
    <w:p>
      <w:pPr>
        <w:spacing w:after="0" w:line="189"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18"/>
          <w:szCs w:val="18"/>
          <w:color w:val="auto"/>
        </w:rPr>
        <w:t>The Company recognizes and measures uncertain tax benefits in accordance with ASC 740 based on a two-step process in which (1) the Company determines whether it is more likely than not that the tax position will be sustained based on the technical merits of the position, and (2) for those tax positions that meet the more-likely-than-not recognition threshold, the Company recognizes the largest amount of tax benefit that is more than fifty percent likely to be realized upon ultimate settlement with the related tax authority. The Company's policy is to recognize interest and penalties, if any, in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ind w:right="140" w:firstLine="54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share-based compensation awards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90" w:lineRule="exact"/>
        <w:rPr>
          <w:sz w:val="20"/>
          <w:szCs w:val="20"/>
          <w:color w:val="auto"/>
        </w:rPr>
      </w:pPr>
    </w:p>
    <w:p>
      <w:pPr>
        <w:ind w:right="20" w:firstLine="54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recognized for the three months ended March 31, 2026 and 2025 was included in the following line items on the condensed consolidated statements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7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0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r>
      <w:tr>
        <w:trPr>
          <w:trHeight w:val="412"/>
        </w:trPr>
        <w:tc>
          <w:tcPr>
            <w:tcW w:w="4240" w:type="dxa"/>
            <w:vAlign w:val="bottom"/>
            <w:tcBorders>
              <w:top w:val="single" w:sz="8" w:color="CCEEFF"/>
            </w:tcBorders>
          </w:tcPr>
          <w:p>
            <w:pPr>
              <w:spacing w:after="0"/>
              <w:rPr>
                <w:sz w:val="24"/>
                <w:szCs w:val="24"/>
                <w:color w:val="auto"/>
              </w:rPr>
            </w:pPr>
          </w:p>
        </w:tc>
        <w:tc>
          <w:tcPr>
            <w:tcW w:w="37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ind w:left="540"/>
        <w:spacing w:after="0"/>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16"/>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Pr>
          <w:p>
            <w:pPr>
              <w:spacing w:after="0"/>
              <w:rPr>
                <w:sz w:val="18"/>
                <w:szCs w:val="18"/>
                <w:color w:val="auto"/>
              </w:rPr>
            </w:pPr>
          </w:p>
        </w:tc>
      </w:tr>
      <w:tr>
        <w:trPr>
          <w:trHeight w:val="238"/>
        </w:trPr>
        <w:tc>
          <w:tcPr>
            <w:tcW w:w="7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6.25</w:t>
            </w:r>
          </w:p>
        </w:tc>
        <w:tc>
          <w:tcPr>
            <w:tcW w:w="4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6.25-10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100" w:firstLine="540"/>
        <w:spacing w:after="0" w:line="312" w:lineRule="auto"/>
        <w:rPr>
          <w:sz w:val="20"/>
          <w:szCs w:val="20"/>
          <w:color w:val="auto"/>
        </w:rPr>
      </w:pPr>
      <w:r>
        <w:rPr>
          <w:rFonts w:ascii="Times New Roman" w:cs="Times New Roman" w:eastAsia="Times New Roman" w:hAnsi="Times New Roman"/>
          <w:sz w:val="17"/>
          <w:szCs w:val="17"/>
          <w:color w:val="auto"/>
        </w:rPr>
        <w:t>The Company considers highly liquid investments with a maturity of three months or less when purchased to be cash equivalents. Cash and cash equivalents consisted primarily of cash on deposit in U.S. and Canadian banks. Cash and cash equivalents are stated at cost which approximates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ind w:right="180" w:firstLine="5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The Company holds these investments in highly-rated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100" w:firstLine="540"/>
        <w:spacing w:after="0" w:line="266" w:lineRule="auto"/>
        <w:rPr>
          <w:sz w:val="20"/>
          <w:szCs w:val="20"/>
          <w:color w:val="auto"/>
        </w:rPr>
      </w:pPr>
      <w:r>
        <w:rPr>
          <w:rFonts w:ascii="Times New Roman" w:cs="Times New Roman" w:eastAsia="Times New Roman" w:hAnsi="Times New Roman"/>
          <w:sz w:val="18"/>
          <w:szCs w:val="18"/>
          <w:color w:val="auto"/>
        </w:rPr>
        <w:t>Property and equipment, which consists of land, construction in process, furniture and fixtures, computer and office equipment, scientific equipment, vehicles, mobile facility and building, are stated at cost and depreciated over the estimated useful lives of the assets, with the exception of land and construction in process which are not depreciated, using the straight line method. The useful lives are as follows:</w:t>
      </w: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 years</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Scientific equipment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Vehicles</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Mobile facility</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27.5 years</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Building</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39 years</w:t>
            </w:r>
          </w:p>
        </w:tc>
      </w:tr>
    </w:tbl>
    <w:p>
      <w:pPr>
        <w:spacing w:after="0" w:line="198" w:lineRule="exact"/>
        <w:rPr>
          <w:sz w:val="20"/>
          <w:szCs w:val="20"/>
          <w:color w:val="auto"/>
        </w:rPr>
      </w:pPr>
    </w:p>
    <w:p>
      <w:pPr>
        <w:jc w:val="both"/>
        <w:ind w:right="120" w:firstLine="540"/>
        <w:spacing w:after="0" w:line="266" w:lineRule="auto"/>
        <w:rPr>
          <w:sz w:val="20"/>
          <w:szCs w:val="20"/>
          <w:color w:val="auto"/>
        </w:rPr>
      </w:pPr>
      <w:r>
        <w:rPr>
          <w:rFonts w:ascii="Times New Roman" w:cs="Times New Roman" w:eastAsia="Times New Roman" w:hAnsi="Times New Roman"/>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7" w:lineRule="exact"/>
        <w:rPr>
          <w:sz w:val="20"/>
          <w:szCs w:val="20"/>
          <w:color w:val="auto"/>
        </w:rPr>
      </w:pPr>
    </w:p>
    <w:p>
      <w:pPr>
        <w:ind w:right="200" w:firstLine="540"/>
        <w:spacing w:after="0" w:line="258" w:lineRule="auto"/>
        <w:rPr>
          <w:sz w:val="20"/>
          <w:szCs w:val="20"/>
          <w:color w:val="auto"/>
        </w:rPr>
      </w:pPr>
      <w:r>
        <w:rPr>
          <w:rFonts w:ascii="Times New Roman" w:cs="Times New Roman" w:eastAsia="Times New Roman" w:hAnsi="Times New Roman"/>
          <w:sz w:val="18"/>
          <w:szCs w:val="18"/>
          <w:color w:val="auto"/>
        </w:rPr>
        <w:t xml:space="preserve">The Company periodically evaluates its long-lived assets for potential impairment in accordance with ASC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Potential impairment is assessed when there is evidence that events or changes in circumstances indicate that the carrying amount of an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18"/>
          <w:szCs w:val="18"/>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The only significant assets denominated in a foreign currency were certain cash accounts, which were remeasured into the functional currency (U.S. dollar) as of the end of the period, resulting in a foreign exchange loss of $1.1 million for the three months ended March 31, 2026 and a foreign exchange gain of $284 thousand for the three months ended March 31, 2025. Transaction gains and losses are also realized upon a settlement of a foreign currency transaction in determining net loss for the period in which the transaction is settled.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229" w:lineRule="exact"/>
        <w:rPr>
          <w:sz w:val="20"/>
          <w:szCs w:val="20"/>
          <w:color w:val="auto"/>
        </w:rPr>
      </w:pPr>
    </w:p>
    <w:p>
      <w:pPr>
        <w:ind w:right="120" w:firstLine="54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18"/>
          <w:szCs w:val="18"/>
          <w:color w:val="auto"/>
        </w:rPr>
        <w:t>Net income/loss per share (“EPS”) is computed by dividing net loss by the weighted average number of common shares outstanding during each period. Diluted EPS is computed by dividing net income/loss by the weighted average number of common shares and common share equivalents outstanding (if dilutive) during each period. The number of common share equivalents, which include stock options, is computed using the treasury stock method. The Company does not include the potential impact of dilutive securities in diluted net loss per share, as the impact of these items is anti-dilutive. For the three months ended March 31, 2026 and March 31, 2025, all stock options were not included in the computation of diluted net loss per share, as the impact of these items was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right="780" w:firstLine="540"/>
        <w:spacing w:after="0" w:line="266" w:lineRule="auto"/>
        <w:rPr>
          <w:sz w:val="20"/>
          <w:szCs w:val="20"/>
          <w:color w:val="auto"/>
        </w:rPr>
      </w:pPr>
      <w:r>
        <w:rPr>
          <w:rFonts w:ascii="Times New Roman" w:cs="Times New Roman" w:eastAsia="Times New Roman" w:hAnsi="Times New Roman"/>
          <w:sz w:val="18"/>
          <w:szCs w:val="18"/>
          <w:color w:val="auto"/>
        </w:rPr>
        <w:t>The Company considered events or transactions occurring after March 31, 2026 but prior to the date the condensed consolidated financial statements are available to be issued for potential recognition or disclosure in its condensed consolidated financial statements. We have evaluated subsequent events through the date of filing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27"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accounting update improves financial reporting by requiring public business entities to disclose additional information about specific expense categories in the notes to the financial statements at interim and annual reporting periods. This ASU is effective for fiscal years beginning after December 15, 2026, and interim periods within fiscal years beginning after December 15, 2027, with early adoption permitted. We are currently evaluating the impact of implementing this guidance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40" w:firstLine="540"/>
        <w:spacing w:after="0" w:line="282" w:lineRule="auto"/>
        <w:rPr>
          <w:sz w:val="20"/>
          <w:szCs w:val="20"/>
          <w:color w:val="auto"/>
        </w:rPr>
      </w:pPr>
      <w:r>
        <w:rPr>
          <w:rFonts w:ascii="Times New Roman" w:cs="Times New Roman" w:eastAsia="Times New Roman" w:hAnsi="Times New Roman"/>
          <w:sz w:val="18"/>
          <w:szCs w:val="18"/>
          <w:color w:val="auto"/>
        </w:rPr>
        <w:t>Property and equipment is presented net of accumulated depreciation. Property and equipment, net, consisted of the following as of March 31, 2026 and December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Winnebago building</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20,535</w:t>
            </w: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20,716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1,804</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22,787</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23,129</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Loan, Related Party</w:t>
      </w:r>
    </w:p>
    <w:p>
      <w:pPr>
        <w:spacing w:after="0" w:line="229" w:lineRule="exact"/>
        <w:rPr>
          <w:sz w:val="20"/>
          <w:szCs w:val="20"/>
          <w:color w:val="auto"/>
        </w:rPr>
      </w:pPr>
    </w:p>
    <w:p>
      <w:pPr>
        <w:ind w:right="60" w:firstLine="540"/>
        <w:spacing w:after="0" w:line="253" w:lineRule="auto"/>
        <w:rPr>
          <w:sz w:val="20"/>
          <w:szCs w:val="20"/>
          <w:color w:val="auto"/>
        </w:rPr>
      </w:pPr>
      <w:r>
        <w:rPr>
          <w:rFonts w:ascii="Times New Roman" w:cs="Times New Roman" w:eastAsia="Times New Roman" w:hAnsi="Times New Roman"/>
          <w:sz w:val="18"/>
          <w:szCs w:val="18"/>
          <w:color w:val="auto"/>
        </w:rPr>
        <w:t>On January 3, 2024, the Company entered into a Convertible Loan Agreement (the “Loan”) with John Simard, the Company’s Founder, Chairman and Former Chief Executive Officer. The Loan provided $10 million in immediate funding for the construction of a new, state-of-the-art research and development facility at the Company’s property at 5217 Winnebago Lane in Austin, Texas. The Loan was secured by the real estate and cash holdings of the Company, with interest to accrue at a simple rate equal to eight percent per year and interest-only payments to be made at six-month intervals. At Mr. Simard’s election, the balance could be converted to XBiotech stock at any time the Loan balance was outstanding at a fixed conversion price equal to $4.048 per share. The conversion feature was subject to a 19.9% cap limiting the number of shares that could be converted under the Loan based on Mr. Simard’s total stock ownership in the Company at the time of conversion. The Loan included an acceleration feature, allowing Mr. Simard to declare immediate cash repayment or conversion under specific acceleration events, including certain financial and non-financial measures, such as payment defaults, breaches of covenants, drop in stock price below $3.00 per share or drop in cash position below $65,000,000. The Loan also allowed Mr. Simard to obtain immediate cash repayment of the Loan balance at his election one year after the loan is funded or upon certain other conditions set forth in the Loan. The Loan had a contractual maturity date of January 3, 2029. The Loan was negotiated, evaluated, and approved on behalf of the Company by a committee of independent and disinterested directors. On January 31, 2025, the Loan was terminated upon full repayment by the Company. As a result, all conversion rights to XBiotech stock associated with the Loan were extinguished.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stock options were exercised during the three months ended March 31, 2026 or 2025.</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Options</w:t>
      </w:r>
    </w:p>
    <w:p>
      <w:pPr>
        <w:spacing w:after="0" w:line="229"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18"/>
          <w:szCs w:val="18"/>
          <w:color w:val="auto"/>
        </w:rPr>
        <w:t>On November 11, 2005, the board of directors of the Company adopted the XBiotech Inc. 2005 Incentive Stock Option Plan (the “2005 Plan”). On March 24, 2015, the board of directors of the Company adopted the 2015 Equity Incentive Plan (the “2015 Plan”) and on August 29, 2025, the board of directors of the Company adopted the 2025 Equity Incentive Plan (the “2025 Plan”) pursuant to which the Company may grant incentive stock and non-qualified stock options to directors, officers, employees or consultants of the Company or an affiliate or other persons as the Compensation Committee may approve.</w:t>
      </w:r>
    </w:p>
    <w:p>
      <w:pPr>
        <w:spacing w:after="0" w:line="183" w:lineRule="exact"/>
        <w:rPr>
          <w:sz w:val="20"/>
          <w:szCs w:val="20"/>
          <w:color w:val="auto"/>
        </w:rPr>
      </w:pPr>
    </w:p>
    <w:p>
      <w:pPr>
        <w:ind w:right="140" w:firstLine="540"/>
        <w:spacing w:after="0" w:line="266" w:lineRule="auto"/>
        <w:rPr>
          <w:sz w:val="20"/>
          <w:szCs w:val="20"/>
          <w:color w:val="auto"/>
        </w:rPr>
      </w:pPr>
      <w:r>
        <w:rPr>
          <w:rFonts w:ascii="Times New Roman" w:cs="Times New Roman" w:eastAsia="Times New Roman" w:hAnsi="Times New Roman"/>
          <w:sz w:val="18"/>
          <w:szCs w:val="18"/>
          <w:color w:val="auto"/>
        </w:rPr>
        <w:t>All options under the Plans will be non-transferable and may be exercised only by the participant, or in the event of the death of the participant, a legal representative until the earlier of the options’ expiration date or the first anniversary of the participant’s death, or such other date as may be specified by the Compensation Committee.</w:t>
      </w:r>
    </w:p>
    <w:p>
      <w:pPr>
        <w:spacing w:after="0" w:line="176" w:lineRule="exact"/>
        <w:rPr>
          <w:sz w:val="20"/>
          <w:szCs w:val="20"/>
          <w:color w:val="auto"/>
        </w:rPr>
      </w:pPr>
    </w:p>
    <w:p>
      <w:pPr>
        <w:jc w:val="both"/>
        <w:ind w:right="20" w:firstLine="540"/>
        <w:spacing w:after="0" w:line="261" w:lineRule="auto"/>
        <w:rPr>
          <w:sz w:val="20"/>
          <w:szCs w:val="20"/>
          <w:color w:val="auto"/>
        </w:rPr>
      </w:pPr>
      <w:r>
        <w:rPr>
          <w:rFonts w:ascii="Times New Roman" w:cs="Times New Roman" w:eastAsia="Times New Roman" w:hAnsi="Times New Roman"/>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0" w:lineRule="exact"/>
        <w:rPr>
          <w:sz w:val="20"/>
          <w:szCs w:val="20"/>
          <w:color w:val="auto"/>
        </w:rPr>
      </w:pPr>
    </w:p>
    <w:p>
      <w:pPr>
        <w:jc w:val="both"/>
        <w:ind w:right="40" w:firstLine="540"/>
        <w:spacing w:after="0" w:line="266" w:lineRule="auto"/>
        <w:rPr>
          <w:sz w:val="20"/>
          <w:szCs w:val="20"/>
          <w:color w:val="auto"/>
        </w:rPr>
      </w:pPr>
      <w:r>
        <w:rPr>
          <w:rFonts w:ascii="Times New Roman" w:cs="Times New Roman" w:eastAsia="Times New Roman" w:hAnsi="Times New Roman"/>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6320" w:type="dxa"/>
            <w:vAlign w:val="bottom"/>
          </w:tcPr>
          <w:p>
            <w:pPr>
              <w:spacing w:after="0"/>
              <w:rPr>
                <w:sz w:val="20"/>
                <w:szCs w:val="20"/>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5,473,907</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$2.64-$21.74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2.31-2.61</w:t>
            </w:r>
          </w:p>
        </w:tc>
        <w:tc>
          <w:tcPr>
            <w:tcW w:w="2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(70,875)</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3.84-15.52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2026</w:t>
            </w:r>
          </w:p>
        </w:tc>
        <w:tc>
          <w:tcPr>
            <w:tcW w:w="17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5,411,832</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$2.64-$21.74</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6320" w:type="dxa"/>
            <w:vAlign w:val="bottom"/>
          </w:tcPr>
          <w:p>
            <w:pPr>
              <w:spacing w:after="0"/>
              <w:rPr>
                <w:sz w:val="20"/>
                <w:szCs w:val="20"/>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4,331,585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$2.71-$21.74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1,066,096</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3.25-3.89</w:t>
            </w:r>
          </w:p>
        </w:tc>
        <w:tc>
          <w:tcPr>
            <w:tcW w:w="2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(15,000)</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2025</w:t>
            </w:r>
          </w:p>
        </w:tc>
        <w:tc>
          <w:tcPr>
            <w:tcW w:w="17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5,382,681</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$2.71-$21.74</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r>
    </w:tbl>
    <w:p>
      <w:pPr>
        <w:spacing w:after="0" w:line="198" w:lineRule="exact"/>
        <w:rPr>
          <w:sz w:val="20"/>
          <w:szCs w:val="20"/>
          <w:color w:val="auto"/>
        </w:rPr>
      </w:pPr>
    </w:p>
    <w:p>
      <w:pPr>
        <w:jc w:val="both"/>
        <w:ind w:right="260" w:firstLine="540"/>
        <w:spacing w:after="0" w:line="261" w:lineRule="auto"/>
        <w:rPr>
          <w:sz w:val="20"/>
          <w:szCs w:val="20"/>
          <w:color w:val="auto"/>
        </w:rPr>
      </w:pPr>
      <w:r>
        <w:rPr>
          <w:rFonts w:ascii="Times New Roman" w:cs="Times New Roman" w:eastAsia="Times New Roman" w:hAnsi="Times New Roman"/>
          <w:sz w:val="18"/>
          <w:szCs w:val="18"/>
          <w:color w:val="auto"/>
        </w:rPr>
        <w:t>As of March 31, 2026, there was approximately $284 thousand unrecognized compensation cost, related to stock options granted under the Plans which will be amortized to stock compensation expense over the next 0.79 year. Total exercisable stock options as of March 31, 2026 is 5.2 million. The weighted-average exercise price of options exercisable as of March 31, 2026 is $7.59 per share and the weighted-average remaining contractual term is 5.3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40"/>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for the three months ended March 31, 2026 and March 31, 2025 were -0.3% and -0.3%, respectively. The effective tax rate for the three month periods ended March 31, 2026 and March 31, 2025 varied from the Canadian statutory rate primarily due to non-deductible compensation and losses in jurisdictions for which a valuation allowance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819" w:right="759" w:bottom="1440" w:gutter="0" w:footer="0" w:header="0"/>
        </w:sectPr>
      </w:pPr>
    </w:p>
    <w:bookmarkStart w:id="15" w:name="page16"/>
    <w:bookmarkEnd w:id="1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18"/>
          <w:szCs w:val="18"/>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83"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18"/>
          <w:szCs w:val="18"/>
          <w:color w:val="auto"/>
        </w:rPr>
        <w:t>Following the Janssen Transaction in December 2019, the tender offer in February 2020, and the dividends paid in July 2021, accumulated deficit as of March 31, 2026 was ($141.9) million. We had net losses of $5.5 million and $10.9 million for the three months ended March 31, 2026 and 2025, respectively. We do not expect to generate any revenue in 2026. In addition, we expect to incur significant and increasing operating losses for the foreseeable future as we advance our drug candidates from discovery through preclinical testing and clinical. In addition to these increasing research and development expenses, we expect general and administrative costs to increase, particularly in consideration of current inflationary trends. We will need to generate significant revenues to achieve or sustain profitability, and we may never do so. As of March 31, 2026, we had 87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right="120" w:firstLine="5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operating expenses as incurred.</w:t>
      </w:r>
    </w:p>
    <w:p>
      <w:pPr>
        <w:spacing w:after="0" w:line="180" w:lineRule="exact"/>
        <w:rPr>
          <w:sz w:val="20"/>
          <w:szCs w:val="20"/>
          <w:color w:val="auto"/>
        </w:rPr>
      </w:pPr>
    </w:p>
    <w:p>
      <w:pPr>
        <w:ind w:right="120" w:firstLine="540"/>
        <w:spacing w:after="0" w:line="282" w:lineRule="auto"/>
        <w:rPr>
          <w:sz w:val="20"/>
          <w:szCs w:val="20"/>
          <w:color w:val="auto"/>
        </w:rPr>
      </w:pPr>
      <w:r>
        <w:rPr>
          <w:rFonts w:ascii="Times New Roman" w:cs="Times New Roman" w:eastAsia="Times New Roman" w:hAnsi="Times New Roman"/>
          <w:sz w:val="18"/>
          <w:szCs w:val="18"/>
          <w:color w:val="auto"/>
        </w:rPr>
        <w:t>The clinical development costs may further increase going forward with potentially more advanced studies in the future as we evaluate our clinical data and pipeline.</w:t>
      </w:r>
    </w:p>
    <w:p>
      <w:pPr>
        <w:spacing w:after="0" w:line="162" w:lineRule="exact"/>
        <w:rPr>
          <w:sz w:val="20"/>
          <w:szCs w:val="20"/>
          <w:color w:val="auto"/>
        </w:rPr>
      </w:pPr>
    </w:p>
    <w:p>
      <w:pPr>
        <w:ind w:right="120" w:firstLine="540"/>
        <w:spacing w:after="0" w:line="255" w:lineRule="auto"/>
        <w:rPr>
          <w:sz w:val="20"/>
          <w:szCs w:val="20"/>
          <w:color w:val="auto"/>
        </w:rPr>
      </w:pPr>
      <w:r>
        <w:rPr>
          <w:rFonts w:ascii="Times New Roman" w:cs="Times New Roman" w:eastAsia="Times New Roman" w:hAnsi="Times New Roman"/>
          <w:sz w:val="18"/>
          <w:szCs w:val="18"/>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March 31, 2026, we have recorded total research and development expenses, including share-based compensation, of $402.3 million. Our total research and development expenses for the three months ended March 31, 2026 and 2025 were $5.2 million and $11.6 million, respectively. Share-based compensation accounted for $8 thousand and $2.7 million for the three months ended March 31, 2026 and 2025, respectively.</w:t>
      </w:r>
    </w:p>
    <w:p>
      <w:pPr>
        <w:spacing w:after="0" w:line="189" w:lineRule="exact"/>
        <w:rPr>
          <w:sz w:val="20"/>
          <w:szCs w:val="20"/>
          <w:color w:val="auto"/>
        </w:rPr>
      </w:pPr>
    </w:p>
    <w:p>
      <w:pPr>
        <w:jc w:val="both"/>
        <w:ind w:right="200" w:firstLine="540"/>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as a percentage of total operating expenses for the three months ended March 31, 2026 and 2025 were 83% and 86%, respectively. The percentages, excluding stock-based compensation, for the three months ended March 31, 2026 and 2025, were 85% and 88%.</w:t>
      </w:r>
    </w:p>
    <w:p>
      <w:pPr>
        <w:spacing w:after="0" w:line="140" w:lineRule="exact"/>
        <w:rPr>
          <w:sz w:val="20"/>
          <w:szCs w:val="20"/>
          <w:color w:val="auto"/>
        </w:rPr>
      </w:pPr>
    </w:p>
    <w:p>
      <w:pPr>
        <w:ind w:firstLine="540"/>
        <w:spacing w:after="0" w:line="266" w:lineRule="auto"/>
        <w:rPr>
          <w:sz w:val="20"/>
          <w:szCs w:val="20"/>
          <w:color w:val="auto"/>
        </w:rPr>
      </w:pPr>
      <w:r>
        <w:rPr>
          <w:rFonts w:ascii="Times New Roman" w:cs="Times New Roman" w:eastAsia="Times New Roman" w:hAnsi="Times New Roman"/>
          <w:sz w:val="18"/>
          <w:szCs w:val="18"/>
          <w:color w:val="auto"/>
        </w:rPr>
        <w:t>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right="380" w:firstLine="5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ended March 31, 2026 and 2025 were $1.1 million and $1.9 million, respectively. Share-based compensation accounted for $164 thousand and $668 thousand for the three months ended March 31, 2026 and 2025, respectively.</w:t>
      </w:r>
    </w:p>
    <w:p>
      <w:pPr>
        <w:spacing w:after="0" w:line="183" w:lineRule="exact"/>
        <w:rPr>
          <w:sz w:val="20"/>
          <w:szCs w:val="20"/>
          <w:color w:val="auto"/>
        </w:rPr>
      </w:pPr>
    </w:p>
    <w:p>
      <w:pPr>
        <w:jc w:val="both"/>
        <w:ind w:firstLine="5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as a percentage of total operating expenses for the three months ended March 31, 2026 and 2025 were 17% and 14%, respectively. The percentages, excluding stock-based compensation, for the three months ended March 31, 2026 and 2025, were 15% and 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spacing w:after="0" w:line="176" w:lineRule="exact"/>
        <w:rPr>
          <w:sz w:val="20"/>
          <w:szCs w:val="20"/>
          <w:color w:val="auto"/>
        </w:rPr>
      </w:pPr>
    </w:p>
    <w:p>
      <w:pPr>
        <w:ind w:right="120" w:firstLine="540"/>
        <w:spacing w:after="0" w:line="266" w:lineRule="auto"/>
        <w:rPr>
          <w:sz w:val="20"/>
          <w:szCs w:val="20"/>
          <w:color w:val="auto"/>
        </w:rPr>
      </w:pPr>
      <w:r>
        <w:rPr>
          <w:rFonts w:ascii="Times New Roman" w:cs="Times New Roman" w:eastAsia="Times New Roman" w:hAnsi="Times New Roman"/>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ind w:right="360" w:firstLine="54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the notes to our financial statements appearing in this Quarterly Report on Form 10-Q, we believe that the following accounting policies are the most critical to understanding and evaluating our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record deferred tax assets and liabilities for the future tax consequences attributable to differences between the financial statement carrying amounts of existing assets and liabilities and their respective tax bases, as well as for operating loss and tax credit carryforwards.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assess the likelihood that deferred tax assets will be realized, and we recognize a valuation allowance if it is more likely than not that some portion of the deferred tax assets will not be realized. This assessment requires judgment as to the likelihood and amounts of future taxable income by tax jurisdiction. To date, with the exception of certain Canada deferred tax assets that will reverse in a period in which they may be carried back, we have provided a valuation allowance against our deferred tax assets as we believe the objective and verifiable evidence of our historical pretax net losses outweighs any positive evidence of our forecasted future results. Although we believe that our tax estimates are reasonable, the ultimate tax determination involves significant judgment. We will continue to monitor the positive and negative evidence and will adjust the valuation allowance as sufficient objective positive evidence becomes available.</w:t>
      </w:r>
    </w:p>
    <w:p>
      <w:pPr>
        <w:spacing w:after="0" w:line="192" w:lineRule="exact"/>
        <w:rPr>
          <w:sz w:val="20"/>
          <w:szCs w:val="20"/>
          <w:color w:val="auto"/>
        </w:rPr>
      </w:pPr>
    </w:p>
    <w:p>
      <w:pPr>
        <w:ind w:right="160" w:firstLine="540"/>
        <w:spacing w:after="0" w:line="266" w:lineRule="auto"/>
        <w:rPr>
          <w:sz w:val="20"/>
          <w:szCs w:val="20"/>
          <w:color w:val="auto"/>
        </w:rPr>
      </w:pPr>
      <w:r>
        <w:rPr>
          <w:rFonts w:ascii="Times New Roman" w:cs="Times New Roman" w:eastAsia="Times New Roman" w:hAnsi="Times New Roman"/>
          <w:sz w:val="18"/>
          <w:szCs w:val="18"/>
          <w:color w:val="auto"/>
        </w:rPr>
        <w:t>We account for uncertain tax positions by recognizing the financial statement effects of a tax position only when, based upon technical merits, it is more likely than not that the position will be sustained upon examination. We recognize potential accrued interest and penalties associated with unrecognized tax positions within our global operations in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229" w:lineRule="exact"/>
        <w:rPr>
          <w:sz w:val="20"/>
          <w:szCs w:val="20"/>
          <w:color w:val="auto"/>
        </w:rPr>
      </w:pPr>
    </w:p>
    <w:p>
      <w:pPr>
        <w:ind w:right="60" w:firstLine="540"/>
        <w:spacing w:after="0" w:line="256" w:lineRule="auto"/>
        <w:rPr>
          <w:sz w:val="20"/>
          <w:szCs w:val="20"/>
          <w:color w:val="auto"/>
        </w:rPr>
      </w:pPr>
      <w:r>
        <w:rPr>
          <w:rFonts w:ascii="Times New Roman" w:cs="Times New Roman" w:eastAsia="Times New Roman" w:hAnsi="Times New Roman"/>
          <w:sz w:val="18"/>
          <w:szCs w:val="18"/>
          <w:color w:val="auto"/>
        </w:rPr>
        <w:t>Expense accruals related to clinical trials are based on actual services received and efforts expended pursuant to contracts with third party service providers which conduct and manage clinical trials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The Company accrues costs based on the actual services rendered in the period over which services were performed and the level of effort expended in each period based upon patient enrollment, clinical site activations, or information provided to the Company by its vendors on their actual costs incurred. Any estimates of the level of services performed or the costs of these services could differ from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(3,535)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manufacturing supplies</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 and sponsored research</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(2,653)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allocation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ind w:right="120" w:firstLine="540"/>
        <w:spacing w:after="0" w:line="289" w:lineRule="auto"/>
        <w:rPr>
          <w:sz w:val="20"/>
          <w:szCs w:val="20"/>
          <w:color w:val="auto"/>
        </w:rPr>
      </w:pPr>
      <w:r>
        <w:rPr>
          <w:rFonts w:ascii="Times New Roman" w:cs="Times New Roman" w:eastAsia="Times New Roman" w:hAnsi="Times New Roman"/>
          <w:sz w:val="17"/>
          <w:szCs w:val="17"/>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58"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$6.4 million to $5.2 million for the three months ended March 31, 2026, compared to $11.6 million for the three months ended March 31, 2025. The decrease of salaries and related expenses was mainly due to the $4.0 million bonus to the former Chief Executive Officer Mr. Simard in March 2025 in which 85%, or $3.4 million was allocated to research and development expenses. Stock-based compensation decreased due to the issuance of stock options with immediate vesting and grant date fair value at $3.0 million to the former Chief Executive Officer Mr. Simard in March 2025, with 85% or $2.5 million of the expense allocated to research and development.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6"/>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6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General and administrative costs are summarized as follows (in thousands):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Patent filing expense</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$0.9 million to $1.1 million for the three months ended March 31, 2026, compared to $1.9 million for the three months ended March 31, 2025. The decrease in salaries and related expenses was primarily due to the $4.0 million bonus to the former Chief Executive Officer Mr. Simard in March 2025, in which 15% or $0.6 million was allocated to general and administrative expenses. Stock-based compensation decreased due to the issuance of $3.0 million in stock options to the former Chief Executive Officer Mr. Simard in March 2025, with 15% or $0.5 million of the expenses allocated to general and administrative department.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following table summarizes other income (loss) (in thousands):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(1,416)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98" w:lineRule="exact"/>
        <w:rPr>
          <w:sz w:val="20"/>
          <w:szCs w:val="20"/>
          <w:color w:val="auto"/>
        </w:rPr>
      </w:pPr>
    </w:p>
    <w:p>
      <w:pPr>
        <w:ind w:right="120" w:firstLine="540"/>
        <w:spacing w:after="0" w:line="256" w:lineRule="auto"/>
        <w:rPr>
          <w:sz w:val="20"/>
          <w:szCs w:val="20"/>
          <w:color w:val="auto"/>
        </w:rPr>
      </w:pPr>
      <w:r>
        <w:rPr>
          <w:rFonts w:ascii="Times New Roman" w:cs="Times New Roman" w:eastAsia="Times New Roman" w:hAnsi="Times New Roman"/>
          <w:sz w:val="18"/>
          <w:szCs w:val="18"/>
          <w:color w:val="auto"/>
        </w:rPr>
        <w:t>Interest income for the three months ended March 31, 2026 and 2025 was primarily generated from the Company’s Canadian bank accounts and decreased due to lower interest rates and a lower cash balance. The interest expenses for the three months ended March 31, 2025 was the interest for the convertible loans. The other income for the three month ended March 31, 2026 was primarily attributable to the receipt of the Employee Retention Credit from the Internal Revenue Service. The other income during the three months ended March 31, 2025 was the cancellation of a penalty by the Canada Revenue Agency for the 2020 tax year. Foreign exchange (loss) gain was due to the fluctuation between the US dollar and the Canadian dollar in the three months ended March 31, 2026 and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60" w:firstLine="540"/>
        <w:spacing w:after="0" w:line="282" w:lineRule="auto"/>
        <w:rPr>
          <w:sz w:val="20"/>
          <w:szCs w:val="20"/>
          <w:color w:val="auto"/>
        </w:rPr>
      </w:pPr>
      <w:r>
        <w:rPr>
          <w:rFonts w:ascii="Times New Roman" w:cs="Times New Roman" w:eastAsia="Times New Roman" w:hAnsi="Times New Roman"/>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62"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18"/>
          <w:szCs w:val="18"/>
          <w:color w:val="auto"/>
        </w:rPr>
        <w:t>Since our inception on March 22, 2005 through March 31, 2026, we have funded our operations principally through private placements and public offerings of equity securities, which have provided aggregate cash proceeds of approximately $278.6 million, excluding the February 2020 tender offer cash payment. We received $675 million in cash proceeds from the Janssen Transaction in the year ended December 31, 2019. In June 2021, we received the remaining $75 million in cash from the escrow receivable from the same transaction. In July 2021, we paid $75 million in dividends to shareholders. As of March 31, 2026, we had cash and cash equivalents of $115.5 million as compared to cash and cash equivalents of $155.9 million at March 31, 2025. The following table summarizes our sources and uses of cash (in thousands):</w:t>
      </w:r>
    </w:p>
    <w:p>
      <w:pPr>
        <w:sectPr>
          <w:pgSz w:w="11900" w:h="16838" w:orient="portrait"/>
          <w:cols w:equalWidth="0" w:num="1">
            <w:col w:w="11240"/>
          </w:cols>
          <w:pgMar w:left="320" w:top="578"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right="2920"/>
        <w:spacing w:after="0" w:line="323" w:lineRule="auto"/>
        <w:rPr>
          <w:sz w:val="20"/>
          <w:szCs w:val="20"/>
          <w:color w:val="auto"/>
        </w:rPr>
      </w:pPr>
      <w:r>
        <w:rPr>
          <w:rFonts w:ascii="Times New Roman" w:cs="Times New Roman" w:eastAsia="Times New Roman" w:hAnsi="Times New Roman"/>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0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(8,969)</w:t>
            </w:r>
          </w:p>
        </w:tc>
        <w:tc>
          <w:tcPr>
            <w:tcW w:w="4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(6,720)</w:t>
            </w:r>
          </w:p>
        </w:tc>
      </w:tr>
      <w:tr>
        <w:trPr>
          <w:trHeight w:val="216"/>
        </w:trPr>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r>
      <w:tr>
        <w:trPr>
          <w:trHeight w:val="234"/>
        </w:trPr>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09"/>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578" w:right="339" w:bottom="1440" w:gutter="0" w:footer="0" w:header="0"/>
          <w:type w:val="continuous"/>
        </w:sectPr>
      </w:pPr>
    </w:p>
    <w:p>
      <w:pPr>
        <w:ind w:right="20" w:firstLine="5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our operating activities used net cash $9.0 million and $6.7 million, respectively. The use of net cash in each of these periods primarily resulted from our net losses. The increase in net cash used in operations for the three months ended March 31, 2026 as compared to the three months ended March 31, 2025 was mainly due to the $4.5 million payment for Mr. Simard’s 2025 annual bonus in January 2026.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type w:val="continuous"/>
        </w:sectPr>
      </w:pPr>
    </w:p>
    <w:bookmarkStart w:id="18" w:name="page19"/>
    <w:bookmarkEnd w:id="18"/>
    <w:p>
      <w:pPr>
        <w:ind w:right="300" w:firstLine="540"/>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2026 and 2025, our investing activities received $9 thousand and used net cash of $94 thousand, respectively. The difference was due to a refund from City of Austin related to the new facility’s permit during the three months ended March 31, 2026.</w:t>
      </w:r>
    </w:p>
    <w:p>
      <w:pPr>
        <w:spacing w:after="0" w:line="140"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net cash from our financing activities was mainly related to the related party Convertible Loan. On January 3, 2024, we entered into a Convertible Loan Agreement (the “Loan”) with John Simard, the Company’s Founder, President, Chief Executive Officer and Chairman, who provided $10 million net cash for the construction of a new, state-of-the-art research and development facility at the Company's property at 5217 Winnebago Lane in Austin, Texas. On January 31, 2025, the Loan was terminated upon full repayment of the principal and the interest by the Company.</w:t>
      </w:r>
    </w:p>
    <w:p>
      <w:pPr>
        <w:spacing w:after="0" w:line="183" w:lineRule="exact"/>
        <w:rPr>
          <w:sz w:val="20"/>
          <w:szCs w:val="20"/>
          <w:color w:val="auto"/>
        </w:rPr>
      </w:pPr>
    </w:p>
    <w:p>
      <w:pPr>
        <w:ind w:right="460" w:firstLine="540"/>
        <w:spacing w:after="0" w:line="266" w:lineRule="auto"/>
        <w:rPr>
          <w:sz w:val="20"/>
          <w:szCs w:val="20"/>
          <w:color w:val="auto"/>
        </w:rPr>
      </w:pPr>
      <w:r>
        <w:rPr>
          <w:rFonts w:ascii="Times New Roman" w:cs="Times New Roman" w:eastAsia="Times New Roman" w:hAnsi="Times New Roman"/>
          <w:sz w:val="18"/>
          <w:szCs w:val="18"/>
          <w:color w:val="auto"/>
        </w:rPr>
        <w:t>We expect to continue to incur operating losses in the future. Further, we may not receive any product revenue until a drug candidate has been approved by the FDA, EMA or similar regulatory agencies in other countries and successfully commercialized. As of March 31, 2026, our principal sources of liquidity were our cash and cash equivalents, which totaled approximately $115.5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0" w:firstLine="540"/>
        <w:spacing w:after="0" w:line="282" w:lineRule="auto"/>
        <w:rPr>
          <w:sz w:val="20"/>
          <w:szCs w:val="20"/>
          <w:color w:val="auto"/>
        </w:rPr>
      </w:pPr>
      <w:r>
        <w:rPr>
          <w:rFonts w:ascii="Times New Roman" w:cs="Times New Roman" w:eastAsia="Times New Roman" w:hAnsi="Times New Roman"/>
          <w:sz w:val="18"/>
          <w:szCs w:val="18"/>
          <w:color w:val="auto"/>
        </w:rPr>
        <w:t>Since inception, we have not engaged in any off-balance sheet activities, including the use of structured finance, special purpose entities or variable interest entities.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of Market Risks</w:t>
      </w:r>
    </w:p>
    <w:p>
      <w:pPr>
        <w:spacing w:after="0" w:line="229" w:lineRule="exact"/>
        <w:rPr>
          <w:sz w:val="20"/>
          <w:szCs w:val="20"/>
          <w:color w:val="auto"/>
        </w:rPr>
      </w:pPr>
    </w:p>
    <w:p>
      <w:pPr>
        <w:ind w:right="120" w:firstLine="540"/>
        <w:spacing w:after="0" w:line="266" w:lineRule="auto"/>
        <w:rPr>
          <w:sz w:val="20"/>
          <w:szCs w:val="20"/>
          <w:color w:val="auto"/>
        </w:rPr>
      </w:pPr>
      <w:r>
        <w:rPr>
          <w:rFonts w:ascii="Times New Roman" w:cs="Times New Roman" w:eastAsia="Times New Roman" w:hAnsi="Times New Roman"/>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29"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18"/>
          <w:szCs w:val="18"/>
          <w:color w:val="auto"/>
        </w:rPr>
        <w:t>As of the end of the year covered by this Annual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the Company’s financial reporting (as defined in Rule 13a-15(f) under the Exchange Act). The Company’s management, with the participation of the Chief Executive Officer and Principal Financial Officer, conducted an assessment of the effectiveness of our internal control over financial reporting based on the criteria set forth in Internal Control – Integrated Framework issued by the Committee of Sponsoring Organizations of the Treadway Commission (2013 framework). Based on our management’s assessment, we have concluded that our internal control over financial reporting was effective as of March 31, 2026, to provide reasonable assurance regarding the reliability of financial reporting and the preparation of financial statements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firstLine="54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2026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firstLine="5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 w:name="page20"/>
    <w:bookmarkEnd w:id="19"/>
    <w:p>
      <w:pPr>
        <w:ind w:left="44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Risk Factors</w:t>
      </w:r>
    </w:p>
    <w:p>
      <w:pPr>
        <w:spacing w:after="0" w:line="229"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our Annual Report on Form 10-K for the year ended December 31, 2025. Please carefully consider the information set forth in this Quarterly Report on Form 10-Q and the risk factors discussed in Part I, “Item 1A. Risk Factors” in our Annual Report on Form 10-K for the year ended December 31, 2025,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480" w:type="dxa"/>
            <w:vAlign w:val="bottom"/>
          </w:tcPr>
          <w:p>
            <w:pPr>
              <w:spacing w:after="0"/>
              <w:rPr>
                <w:sz w:val="18"/>
                <w:szCs w:val="18"/>
                <w:color w:val="auto"/>
              </w:rPr>
            </w:pPr>
          </w:p>
        </w:tc>
        <w:tc>
          <w:tcPr>
            <w:tcW w:w="964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Required Under Rule 13a-14(a) and 15d-14(a) of the Securities Exchange Act of 1934, as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760" w:type="dxa"/>
            <w:vAlign w:val="bottom"/>
            <w:gridSpan w:val="2"/>
            <w:vMerge w:val="continue"/>
          </w:tcPr>
          <w:p>
            <w:pPr>
              <w:spacing w:after="0"/>
              <w:rPr>
                <w:sz w:val="7"/>
                <w:szCs w:val="7"/>
                <w:color w:val="auto"/>
              </w:rPr>
            </w:pPr>
          </w:p>
        </w:tc>
        <w:tc>
          <w:tcPr>
            <w:tcW w:w="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50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Borders>
              <w:bottom w:val="single" w:sz="8" w:color="0000EE"/>
            </w:tcBorders>
            <w:gridSpan w:val="2"/>
            <w:vMerge w:val="continue"/>
          </w:tcPr>
          <w:p>
            <w:pPr>
              <w:spacing w:after="0"/>
              <w:rPr>
                <w:sz w:val="7"/>
                <w:szCs w:val="7"/>
                <w:color w:val="auto"/>
              </w:rPr>
            </w:pPr>
          </w:p>
        </w:tc>
        <w:tc>
          <w:tcPr>
            <w:tcW w:w="9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7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480" w:type="dxa"/>
            <w:vAlign w:val="bottom"/>
          </w:tcPr>
          <w:p>
            <w:pPr>
              <w:spacing w:after="0"/>
              <w:rPr>
                <w:sz w:val="24"/>
                <w:szCs w:val="24"/>
                <w:color w:val="auto"/>
              </w:rPr>
            </w:pP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76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6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60" w:type="dxa"/>
            <w:vAlign w:val="bottom"/>
            <w:gridSpan w:val="2"/>
            <w:vMerge w:val="continue"/>
          </w:tcPr>
          <w:p>
            <w:pPr>
              <w:spacing w:after="0"/>
              <w:rPr>
                <w:sz w:val="7"/>
                <w:szCs w:val="7"/>
                <w:color w:val="auto"/>
              </w:rPr>
            </w:pPr>
          </w:p>
        </w:tc>
        <w:tc>
          <w:tcPr>
            <w:tcW w:w="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50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Borders>
              <w:bottom w:val="single" w:sz="8" w:color="0000EE"/>
            </w:tcBorders>
            <w:gridSpan w:val="2"/>
            <w:vMerge w:val="continue"/>
          </w:tcPr>
          <w:p>
            <w:pPr>
              <w:spacing w:after="0"/>
              <w:rPr>
                <w:sz w:val="7"/>
                <w:szCs w:val="7"/>
                <w:color w:val="auto"/>
              </w:rPr>
            </w:pPr>
          </w:p>
        </w:tc>
        <w:tc>
          <w:tcPr>
            <w:tcW w:w="9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7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480" w:type="dxa"/>
            <w:vAlign w:val="bottom"/>
          </w:tcPr>
          <w:p>
            <w:pPr>
              <w:spacing w:after="0"/>
              <w:rPr>
                <w:sz w:val="24"/>
                <w:szCs w:val="24"/>
                <w:color w:val="auto"/>
              </w:rPr>
            </w:pPr>
          </w:p>
        </w:tc>
        <w:tc>
          <w:tcPr>
            <w:tcW w:w="972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w:t>
            </w:r>
          </w:p>
        </w:tc>
        <w:tc>
          <w:tcPr>
            <w:tcW w:w="0" w:type="dxa"/>
            <w:vAlign w:val="bottom"/>
          </w:tcPr>
          <w:p>
            <w:pPr>
              <w:spacing w:after="0"/>
              <w:rPr>
                <w:sz w:val="1"/>
                <w:szCs w:val="1"/>
                <w:color w:val="auto"/>
              </w:rPr>
            </w:pPr>
          </w:p>
        </w:tc>
      </w:tr>
      <w:tr>
        <w:trPr>
          <w:trHeight w:val="88"/>
        </w:trPr>
        <w:tc>
          <w:tcPr>
            <w:tcW w:w="760" w:type="dxa"/>
            <w:vAlign w:val="bottom"/>
            <w:gridSpan w:val="2"/>
            <w:vMerge w:val="continue"/>
          </w:tcPr>
          <w:p>
            <w:pPr>
              <w:spacing w:after="0"/>
              <w:rPr>
                <w:sz w:val="7"/>
                <w:szCs w:val="7"/>
                <w:color w:val="auto"/>
              </w:rPr>
            </w:pPr>
          </w:p>
        </w:tc>
        <w:tc>
          <w:tcPr>
            <w:tcW w:w="1020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Act of 1934, as amended, and 18 U.S.C. §1350.</w:t>
            </w:r>
          </w:p>
        </w:tc>
        <w:tc>
          <w:tcPr>
            <w:tcW w:w="0" w:type="dxa"/>
            <w:vAlign w:val="bottom"/>
          </w:tcPr>
          <w:p>
            <w:pPr>
              <w:spacing w:after="0"/>
              <w:rPr>
                <w:sz w:val="1"/>
                <w:szCs w:val="1"/>
                <w:color w:val="auto"/>
              </w:rPr>
            </w:pPr>
          </w:p>
        </w:tc>
      </w:tr>
      <w:tr>
        <w:trPr>
          <w:trHeight w:val="88"/>
        </w:trPr>
        <w:tc>
          <w:tcPr>
            <w:tcW w:w="32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102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right="600" w:firstLine="486"/>
        <w:spacing w:after="0" w:line="261" w:lineRule="auto"/>
        <w:rPr>
          <w:sz w:val="20"/>
          <w:szCs w:val="20"/>
          <w:color w:val="auto"/>
        </w:rPr>
      </w:pPr>
      <w:r>
        <w:rPr>
          <w:rFonts w:ascii="Times New Roman" w:cs="Times New Roman" w:eastAsia="Times New Roman" w:hAnsi="Times New Roman"/>
          <w:sz w:val="18"/>
          <w:szCs w:val="18"/>
          <w:color w:val="auto"/>
        </w:rPr>
        <w:t>The following financial statements from the XBiotech Inc. Quarterly Report on Form 10-Q for the quarter ended March 31, 2026, formatted in Inline Extensive Business Reporting Language (XBRL): (i) condensed consolidated balance sheets at March 31, 2026 and</w:t>
      </w:r>
    </w:p>
    <w:p>
      <w:pPr>
        <w:ind w:left="760" w:right="40" w:hanging="752"/>
        <w:spacing w:after="0" w:line="255"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2025, (ii) condensed consolidated statements of operations for the three months ended March 31, 2026 and 2025, (iii) condensed consolidated statements of shareholders’ equity for the three months ended March 31, 2026 and 2025; (iv) condensed consolidated statements of cash flows for the three months ended March 31, 2026 and 2025 and (v) notes to condensed consolidated financial statements (detail tagged).</w:t>
      </w:r>
    </w:p>
    <w:p>
      <w:pPr>
        <w:spacing w:after="0" w:line="186" w:lineRule="exact"/>
        <w:rPr>
          <w:sz w:val="20"/>
          <w:szCs w:val="20"/>
          <w:color w:val="auto"/>
        </w:rPr>
      </w:pPr>
    </w:p>
    <w:p>
      <w:pPr>
        <w:ind w:left="5540" w:right="4560" w:hanging="5532"/>
        <w:spacing w:after="0" w:line="783"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iXBRL document).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4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XBIOTECH INC.</w:t>
            </w:r>
          </w:p>
        </w:tc>
        <w:tc>
          <w:tcPr>
            <w:tcW w:w="138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24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Pr>
          <w:p>
            <w:pPr>
              <w:spacing w:after="0"/>
              <w:rPr>
                <w:sz w:val="24"/>
                <w:szCs w:val="24"/>
                <w:color w:val="auto"/>
              </w:rPr>
            </w:pPr>
          </w:p>
        </w:tc>
        <w:tc>
          <w:tcPr>
            <w:tcW w:w="4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 Sushma Shivaswamy</w:t>
            </w:r>
          </w:p>
        </w:tc>
      </w:tr>
      <w:tr>
        <w:trPr>
          <w:trHeight w:val="191"/>
        </w:trPr>
        <w:tc>
          <w:tcPr>
            <w:tcW w:w="2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Sushma Shivaswamy</w:t>
            </w:r>
          </w:p>
        </w:tc>
      </w:tr>
      <w:tr>
        <w:trPr>
          <w:trHeight w:val="216"/>
        </w:trPr>
        <w:tc>
          <w:tcPr>
            <w:tcW w:w="2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Interim Chief Executive Officer and Chief Scientific</w:t>
            </w:r>
          </w:p>
        </w:tc>
      </w:tr>
      <w:tr>
        <w:trPr>
          <w:trHeight w:val="216"/>
        </w:trPr>
        <w:tc>
          <w:tcPr>
            <w:tcW w:w="2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2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4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Pr>
          <w:p>
            <w:pPr>
              <w:spacing w:after="0"/>
              <w:rPr>
                <w:sz w:val="24"/>
                <w:szCs w:val="24"/>
                <w:color w:val="auto"/>
              </w:rPr>
            </w:pPr>
          </w:p>
        </w:tc>
        <w:tc>
          <w:tcPr>
            <w:tcW w:w="4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 Angela Hu</w:t>
            </w:r>
          </w:p>
        </w:tc>
      </w:tr>
      <w:tr>
        <w:trPr>
          <w:trHeight w:val="191"/>
        </w:trPr>
        <w:tc>
          <w:tcPr>
            <w:tcW w:w="2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Angela Hu</w:t>
            </w:r>
          </w:p>
        </w:tc>
      </w:tr>
      <w:tr>
        <w:trPr>
          <w:trHeight w:val="216"/>
        </w:trPr>
        <w:tc>
          <w:tcPr>
            <w:tcW w:w="2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of Finance</w:t>
            </w:r>
          </w:p>
        </w:tc>
      </w:tr>
      <w:tr>
        <w:trPr>
          <w:trHeight w:val="234"/>
        </w:trPr>
        <w:tc>
          <w:tcPr>
            <w:tcW w:w="2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2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21</w:t>
            </w:r>
          </w:p>
        </w:tc>
        <w:tc>
          <w:tcPr>
            <w:tcW w:w="4300" w:type="dxa"/>
            <w:vAlign w:val="bottom"/>
          </w:tcPr>
          <w:p>
            <w:pPr>
              <w:spacing w:after="0"/>
              <w:rPr>
                <w:sz w:val="24"/>
                <w:szCs w:val="24"/>
                <w:color w:val="auto"/>
              </w:rPr>
            </w:pPr>
          </w:p>
        </w:tc>
      </w:tr>
    </w:tbl>
    <w:p>
      <w:pPr>
        <w:sectPr>
          <w:pgSz w:w="11900" w:h="16838" w:orient="portrait"/>
          <w:cols w:equalWidth="0" w:num="1">
            <w:col w:w="11080"/>
          </w:cols>
          <w:pgMar w:left="320" w:top="576" w:right="4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Sushma Shivaswamy, certify that:</w:t>
      </w:r>
    </w:p>
    <w:p>
      <w:pPr>
        <w:spacing w:after="0" w:line="225"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XBiotech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/S/ SUSHMA SHIVASWAMY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Sushma Shivaswamy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Executive Officer and Chief Scientific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Hu, certify that:</w:t>
      </w:r>
    </w:p>
    <w:p>
      <w:pPr>
        <w:spacing w:after="0" w:line="225"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XBiotech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/S/ ANGELA HU</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Angela Hu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 of Finance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AND PRINCIPAL FINANCIAL OFFICER PURSUANT TO 18 U.S.C. SECTION 1350, AS ADOPTED PURSUANT TO SECTION 906 OF THE SARBANES-OXLEY ACT OF 2002</w:t>
      </w:r>
    </w:p>
    <w:p>
      <w:pPr>
        <w:spacing w:after="0" w:line="175"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XBiotech Inc. on Form 10-Q for the period ended March 31, 2026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76"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XBiotech Inc.</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/S/ SUSHMA SHIVASWAMY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Sushma Shivaswamy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Executive Officer and Chief Scientific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07" w:lineRule="exact"/>
        <w:rPr>
          <w:sz w:val="20"/>
          <w:szCs w:val="20"/>
          <w:color w:val="auto"/>
        </w:rPr>
      </w:pPr>
    </w:p>
    <w:p>
      <w:pPr>
        <w:jc w:val="both"/>
        <w:ind w:right="50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XBiotech Inc. on Form 10-Q for the period ended March 31, 2026, as filed with the Securities and Exchange Commission on the date hereof (the “Report”), I, Angela Hu, Director of Finance of the Company, certify, pursuant to 18 U.S.C. §1350, as adopted pursuant to §906 of the Sarbanes-Oxley Act of 2002, that to the best of my knowledge:</w:t>
      </w:r>
    </w:p>
    <w:p>
      <w:pPr>
        <w:spacing w:after="0" w:line="176"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XBiotech Inc.</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/S/ ANGELA HU</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Angela Hu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 of Finance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14,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6"/>
    </w:lvl>
  </w:abstractNum>
  <w:abstractNum w:abstractNumId="9">
    <w:nsid w:val="3352255A"/>
    <w:multiLevelType w:val="hybridMultilevel"/>
    <w:lvl w:ilvl="0">
      <w:lvlJc w:val="left"/>
      <w:lvlText w:val="%1."/>
      <w:numFmt w:val="decimal"/>
      <w:start w:val="7"/>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2026-05-14T13:46:27Z</dcterms:created>
  <dcterms:modified xsi:type="dcterms:W3CDTF">2026-05-14T13:46:27Z</dcterms:modified>
</cp:coreProperties>
</file>