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00" w:right="3900" w:hanging="3892"/>
        <w:spacing w:after="0" w:line="563" w:lineRule="auto"/>
        <w:tabs>
          <w:tab w:leader="none" w:pos="588"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320" w:right="4020" w:hanging="4312"/>
        <w:spacing w:after="0" w:line="547" w:lineRule="auto"/>
        <w:tabs>
          <w:tab w:leader="none" w:pos="59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001-37437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XBIOTECH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20"/>
          </w:cols>
          <w:pgMar w:left="240" w:top="206" w:right="239" w:bottom="1440" w:gutter="0" w:footer="0" w:header="0"/>
        </w:sectPr>
      </w:pPr>
    </w:p>
    <w:p>
      <w:pPr>
        <w:spacing w:after="0" w:line="20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__</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206" w:right="2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8201 E. Riverside Drive, Bldg. 4, Suite 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Austin, TX 78744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(512) 386-2900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128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52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80" w:type="dxa"/>
            <w:vAlign w:val="bottom"/>
          </w:tcPr>
          <w:p>
            <w:pPr>
              <w:ind w:left="128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580" w:type="dxa"/>
            <w:vAlign w:val="bottom"/>
          </w:tcPr>
          <w:p>
            <w:pPr>
              <w:ind w:left="128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May 10, 2017, there were 35,290,664 shares of the Registrant's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92"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3"/>
          </w:tcPr>
          <w:p>
            <w:pPr>
              <w:jc w:val="center"/>
              <w:ind w:right="3680"/>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I—FINANCIAL INFORMATION</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Item 1.</w:t>
              </w:r>
            </w:hyperlink>
          </w:p>
        </w:tc>
        <w:tc>
          <w:tcPr>
            <w:tcW w:w="860" w:type="dxa"/>
            <w:vAlign w:val="bottom"/>
            <w:gridSpan w:val="3"/>
          </w:tcPr>
          <w:p>
            <w:pPr>
              <w:spacing w:after="0"/>
              <w:rPr>
                <w:sz w:val="24"/>
                <w:szCs w:val="24"/>
                <w:color w:val="auto"/>
              </w:rPr>
            </w:pPr>
          </w:p>
        </w:tc>
        <w:tc>
          <w:tcPr>
            <w:tcW w:w="2760" w:type="dxa"/>
            <w:vAlign w:val="bottom"/>
            <w:gridSpan w:val="9"/>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Consolidated Financial Statements</w:t>
              </w:r>
            </w:hyperlink>
          </w:p>
        </w:tc>
        <w:tc>
          <w:tcPr>
            <w:tcW w:w="3160" w:type="dxa"/>
            <w:vAlign w:val="bottom"/>
            <w:tcBorders>
              <w:top w:val="single" w:sz="8" w:color="0000EE"/>
            </w:tcBorders>
            <w:gridSpan w:val="6"/>
          </w:tcPr>
          <w:p>
            <w:pPr>
              <w:spacing w:after="0"/>
              <w:rPr>
                <w:sz w:val="24"/>
                <w:szCs w:val="24"/>
                <w:color w:val="auto"/>
              </w:rPr>
            </w:pPr>
          </w:p>
        </w:tc>
        <w:tc>
          <w:tcPr>
            <w:tcW w:w="394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20" w:type="dxa"/>
            <w:vAlign w:val="bottom"/>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Balance Sheets as of March 31, 2017 (unaudited) and December 31, 2016</w:t>
              </w:r>
            </w:hyperlink>
          </w:p>
        </w:tc>
        <w:tc>
          <w:tcPr>
            <w:tcW w:w="3540" w:type="dxa"/>
            <w:vAlign w:val="bottom"/>
            <w:gridSpan w:val="5"/>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Operations for the Three Months Ended March 31, 2017 (unaudited) and 2016 (unaudited)</w:t>
              </w:r>
            </w:hyperlink>
          </w:p>
        </w:tc>
        <w:tc>
          <w:tcPr>
            <w:tcW w:w="1300" w:type="dxa"/>
            <w:vAlign w:val="bottom"/>
            <w:gridSpan w:val="2"/>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60" w:type="dxa"/>
            <w:vAlign w:val="bottom"/>
            <w:tcBorders>
              <w:top w:val="single" w:sz="8" w:color="0000EE"/>
            </w:tcBorders>
            <w:gridSpan w:val="19"/>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Consolidated Statements of Comprehensive Loss for the Three Months Ended March 31, 2017 (unaudited) and 2016</w:t>
              </w:r>
            </w:hyperlink>
          </w:p>
        </w:tc>
        <w:tc>
          <w:tcPr>
            <w:tcW w:w="13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w:t>
              </w:r>
            </w:hyperlink>
          </w:p>
        </w:tc>
        <w:tc>
          <w:tcPr>
            <w:tcW w:w="7560" w:type="dxa"/>
            <w:vAlign w:val="bottom"/>
            <w:tcBorders>
              <w:top w:val="single" w:sz="8" w:color="0000EE"/>
            </w:tcBorders>
            <w:gridSpan w:val="16"/>
          </w:tcPr>
          <w:p>
            <w:pPr>
              <w:spacing w:after="0"/>
              <w:rPr>
                <w:sz w:val="17"/>
                <w:szCs w:val="17"/>
                <w:color w:val="auto"/>
              </w:rPr>
            </w:pPr>
          </w:p>
        </w:tc>
        <w:tc>
          <w:tcPr>
            <w:tcW w:w="1460" w:type="dxa"/>
            <w:vAlign w:val="bottom"/>
            <w:gridSpan w:val="3"/>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6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Statements of Cash Flows for the Three Months Ended March 31, 2017 (unaudited) and 2016 (unaudited)</w:t>
              </w:r>
            </w:hyperlink>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Consolidated Financial Statements (unaudited)</w:t>
              </w:r>
            </w:hyperlink>
          </w:p>
        </w:tc>
        <w:tc>
          <w:tcPr>
            <w:tcW w:w="126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860" w:type="dxa"/>
            <w:vAlign w:val="bottom"/>
            <w:gridSpan w:val="3"/>
          </w:tcPr>
          <w:p>
            <w:pPr>
              <w:spacing w:after="0"/>
              <w:rPr>
                <w:sz w:val="24"/>
                <w:szCs w:val="24"/>
                <w:color w:val="auto"/>
              </w:rPr>
            </w:pPr>
          </w:p>
        </w:tc>
        <w:tc>
          <w:tcPr>
            <w:tcW w:w="9860" w:type="dxa"/>
            <w:vAlign w:val="bottom"/>
            <w:gridSpan w:val="2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3.</w:t>
              </w:r>
            </w:hyperlink>
          </w:p>
        </w:tc>
        <w:tc>
          <w:tcPr>
            <w:tcW w:w="860" w:type="dxa"/>
            <w:vAlign w:val="bottom"/>
            <w:gridSpan w:val="3"/>
          </w:tcPr>
          <w:p>
            <w:pPr>
              <w:spacing w:after="0"/>
              <w:rPr>
                <w:sz w:val="24"/>
                <w:szCs w:val="24"/>
                <w:color w:val="auto"/>
              </w:rPr>
            </w:pP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24"/>
                <w:szCs w:val="24"/>
                <w:color w:val="auto"/>
              </w:rPr>
            </w:pPr>
          </w:p>
        </w:tc>
        <w:tc>
          <w:tcPr>
            <w:tcW w:w="340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20</w:t>
              </w:r>
            </w:hyperlink>
          </w:p>
        </w:tc>
      </w:tr>
      <w:tr>
        <w:trPr>
          <w:trHeight w:val="412"/>
        </w:trPr>
        <w:tc>
          <w:tcPr>
            <w:tcW w:w="1380" w:type="dxa"/>
            <w:vAlign w:val="bottom"/>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9860" w:type="dxa"/>
            <w:vAlign w:val="bottom"/>
            <w:gridSpan w:val="2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60" w:type="dxa"/>
            <w:vAlign w:val="bottom"/>
            <w:gridSpan w:val="11"/>
          </w:tcPr>
          <w:p>
            <w:pPr>
              <w:jc w:val="center"/>
              <w:ind w:right="4100"/>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II—OTHER INFORMATION</w:t>
              </w:r>
            </w:hyperlink>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1.</w:t>
              </w:r>
            </w:hyperlink>
          </w:p>
        </w:tc>
        <w:tc>
          <w:tcPr>
            <w:tcW w:w="860" w:type="dxa"/>
            <w:vAlign w:val="bottom"/>
            <w:gridSpan w:val="3"/>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1560" w:type="dxa"/>
            <w:vAlign w:val="bottom"/>
            <w:gridSpan w:val="5"/>
          </w:tcPr>
          <w:p>
            <w:pPr>
              <w:spacing w:after="0"/>
              <w:rPr>
                <w:sz w:val="24"/>
                <w:szCs w:val="24"/>
                <w:color w:val="auto"/>
              </w:rPr>
            </w:pPr>
          </w:p>
        </w:tc>
        <w:tc>
          <w:tcPr>
            <w:tcW w:w="2860" w:type="dxa"/>
            <w:vAlign w:val="bottom"/>
            <w:tcBorders>
              <w:top w:val="single" w:sz="8" w:color="0000EE"/>
            </w:tcBorders>
            <w:gridSpan w:val="4"/>
          </w:tcPr>
          <w:p>
            <w:pPr>
              <w:spacing w:after="0"/>
              <w:rPr>
                <w:sz w:val="24"/>
                <w:szCs w:val="24"/>
                <w:color w:val="auto"/>
              </w:rPr>
            </w:pPr>
          </w:p>
        </w:tc>
        <w:tc>
          <w:tcPr>
            <w:tcW w:w="41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1380" w:type="dxa"/>
            <w:vAlign w:val="bottom"/>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1A.</w:t>
              </w:r>
            </w:hyperlink>
          </w:p>
        </w:tc>
        <w:tc>
          <w:tcPr>
            <w:tcW w:w="986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55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Unregistered Sales of Equity Securities and Use of Proceeds</w:t>
              </w:r>
            </w:hyperlink>
          </w:p>
        </w:tc>
        <w:tc>
          <w:tcPr>
            <w:tcW w:w="5500" w:type="dxa"/>
            <w:vAlign w:val="bottom"/>
            <w:gridSpan w:val="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860" w:type="dxa"/>
            <w:vAlign w:val="bottom"/>
            <w:gridSpan w:val="3"/>
          </w:tcPr>
          <w:p>
            <w:pPr>
              <w:spacing w:after="0"/>
              <w:rPr>
                <w:sz w:val="24"/>
                <w:szCs w:val="24"/>
                <w:color w:val="auto"/>
              </w:rPr>
            </w:pPr>
          </w:p>
        </w:tc>
        <w:tc>
          <w:tcPr>
            <w:tcW w:w="986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860" w:type="dxa"/>
            <w:vAlign w:val="bottom"/>
            <w:gridSpan w:val="3"/>
          </w:tcPr>
          <w:p>
            <w:pPr>
              <w:spacing w:after="0"/>
              <w:rPr>
                <w:sz w:val="24"/>
                <w:szCs w:val="24"/>
                <w:color w:val="auto"/>
              </w:rPr>
            </w:pP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24"/>
                <w:szCs w:val="24"/>
                <w:color w:val="auto"/>
              </w:rPr>
            </w:pPr>
          </w:p>
        </w:tc>
        <w:tc>
          <w:tcPr>
            <w:tcW w:w="7540" w:type="dxa"/>
            <w:vAlign w:val="bottom"/>
            <w:gridSpan w:val="1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5.</w:t>
              </w:r>
            </w:hyperlink>
          </w:p>
        </w:tc>
        <w:tc>
          <w:tcPr>
            <w:tcW w:w="860" w:type="dxa"/>
            <w:vAlign w:val="bottom"/>
            <w:gridSpan w:val="3"/>
          </w:tcPr>
          <w:p>
            <w:pPr>
              <w:spacing w:after="0"/>
              <w:rPr>
                <w:sz w:val="24"/>
                <w:szCs w:val="24"/>
                <w:color w:val="auto"/>
              </w:rPr>
            </w:pPr>
          </w:p>
        </w:tc>
        <w:tc>
          <w:tcPr>
            <w:tcW w:w="986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6.</w:t>
              </w:r>
            </w:hyperlink>
          </w:p>
        </w:tc>
        <w:tc>
          <w:tcPr>
            <w:tcW w:w="860" w:type="dxa"/>
            <w:vAlign w:val="bottom"/>
            <w:gridSpan w:val="3"/>
          </w:tcPr>
          <w:p>
            <w:pPr>
              <w:spacing w:after="0"/>
              <w:rPr>
                <w:sz w:val="24"/>
                <w:szCs w:val="24"/>
                <w:color w:val="auto"/>
              </w:rPr>
            </w:pP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8540" w:type="dxa"/>
            <w:vAlign w:val="bottom"/>
            <w:gridSpan w:val="17"/>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0"/>
        </w:trPr>
        <w:tc>
          <w:tcPr>
            <w:tcW w:w="5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38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29" w:lineRule="exact"/>
        <w:rPr>
          <w:sz w:val="20"/>
          <w:szCs w:val="20"/>
          <w:color w:val="auto"/>
        </w:rPr>
      </w:pPr>
    </w:p>
    <w:p>
      <w:pPr>
        <w:ind w:firstLine="551"/>
        <w:spacing w:after="0" w:line="272"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These forward-looking statements include, but are not limited to statements about:</w:t>
      </w:r>
    </w:p>
    <w:p>
      <w:pPr>
        <w:spacing w:after="0" w:line="178" w:lineRule="exact"/>
        <w:rPr>
          <w:sz w:val="20"/>
          <w:szCs w:val="20"/>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and sell Xilonix™ in the United States, Europe and elsewhere;</w:t>
      </w:r>
    </w:p>
    <w:p>
      <w:pPr>
        <w:spacing w:after="0" w:line="225" w:lineRule="exact"/>
        <w:rPr>
          <w:rFonts w:ascii="Arial" w:cs="Arial" w:eastAsia="Arial" w:hAnsi="Arial"/>
          <w:sz w:val="18"/>
          <w:szCs w:val="18"/>
          <w:color w:val="auto"/>
        </w:rPr>
      </w:pPr>
    </w:p>
    <w:p>
      <w:pPr>
        <w:ind w:left="880" w:right="40" w:hanging="33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 for Xilonix™ and other product candidates;</w:t>
      </w:r>
    </w:p>
    <w:p>
      <w:pPr>
        <w:spacing w:after="0" w:line="170"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the sale of Xilonix™ in the United States, Europe and elsewhere;</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future clinical trials for our pharmaceutical products;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new products using our True Human™ antibody discovery platform;</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236" w:lineRule="exact"/>
        <w:rPr>
          <w:rFonts w:ascii="Arial" w:cs="Arial" w:eastAsia="Arial" w:hAnsi="Arial"/>
          <w:sz w:val="17"/>
          <w:szCs w:val="17"/>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of the size and characteristics of the markets that may be addressed by our products and product candidates;</w:t>
      </w:r>
    </w:p>
    <w:p>
      <w:pPr>
        <w:spacing w:after="0" w:line="248" w:lineRule="exact"/>
        <w:rPr>
          <w:rFonts w:ascii="Arial" w:cs="Arial" w:eastAsia="Arial" w:hAnsi="Arial"/>
          <w:sz w:val="16"/>
          <w:szCs w:val="16"/>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Xilonix™ and future products, if any;</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collaborators’ ability to obtain and maintain regulatory approvals for our product candidates;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00"/>
          </w:cols>
          <w:pgMar w:left="240" w:top="688" w:right="459" w:bottom="1440" w:gutter="0" w:footer="0" w:header="0"/>
        </w:sectPr>
      </w:pPr>
    </w:p>
    <w:bookmarkStart w:id="4" w:name="page5"/>
    <w:bookmarkEnd w:id="4"/>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timing during which we will be an emerging growth company under the JOBS Act;</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including the success of competing therapies that are or become available; and</w:t>
      </w:r>
    </w:p>
    <w:p>
      <w:pPr>
        <w:spacing w:after="0" w:line="236" w:lineRule="exact"/>
        <w:rPr>
          <w:rFonts w:ascii="Arial" w:cs="Arial" w:eastAsia="Arial" w:hAnsi="Arial"/>
          <w:sz w:val="17"/>
          <w:szCs w:val="17"/>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under the heading “Risk Factors” included in our annual report for the year ended December 31, 2016 filed with the SEC on March 16, 2017,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2"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80" w:type="dxa"/>
            <w:vAlign w:val="bottom"/>
          </w:tcPr>
          <w:p>
            <w:pPr>
              <w:ind w:left="4100"/>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8380" w:type="dxa"/>
            <w:vAlign w:val="bottom"/>
          </w:tcPr>
          <w:p>
            <w:pPr>
              <w:jc w:val="center"/>
              <w:ind w:left="2910"/>
              <w:spacing w:after="0"/>
              <w:rPr>
                <w:sz w:val="20"/>
                <w:szCs w:val="20"/>
                <w:color w:val="auto"/>
              </w:rPr>
            </w:pPr>
            <w:r>
              <w:rPr>
                <w:rFonts w:ascii="Arial" w:cs="Arial" w:eastAsia="Arial" w:hAnsi="Arial"/>
                <w:sz w:val="18"/>
                <w:szCs w:val="18"/>
                <w:b w:val="1"/>
                <w:bCs w:val="1"/>
                <w:color w:val="auto"/>
                <w:w w:val="92"/>
              </w:rPr>
              <w:t>XBiotech Inc.</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jc w:val="center"/>
              <w:ind w:left="2910"/>
              <w:spacing w:after="0"/>
              <w:rPr>
                <w:sz w:val="20"/>
                <w:szCs w:val="20"/>
                <w:color w:val="auto"/>
              </w:rPr>
            </w:pPr>
            <w:r>
              <w:rPr>
                <w:rFonts w:ascii="Arial" w:cs="Arial" w:eastAsia="Arial" w:hAnsi="Arial"/>
                <w:sz w:val="18"/>
                <w:szCs w:val="18"/>
                <w:color w:val="auto"/>
                <w:w w:val="88"/>
              </w:rPr>
              <w:t>Consolidated Balance Sheets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jc w:val="center"/>
              <w:ind w:left="2930"/>
              <w:spacing w:after="0"/>
              <w:rPr>
                <w:sz w:val="20"/>
                <w:szCs w:val="20"/>
                <w:color w:val="auto"/>
              </w:rPr>
            </w:pPr>
            <w:r>
              <w:rPr>
                <w:rFonts w:ascii="Arial" w:cs="Arial" w:eastAsia="Arial" w:hAnsi="Arial"/>
                <w:sz w:val="18"/>
                <w:szCs w:val="18"/>
                <w:color w:val="auto"/>
                <w:w w:val="88"/>
              </w:rPr>
              <w:t>(in thousands, except share data)</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6"/>
              </w:rPr>
              <w:t>March 31, 2017</w:t>
            </w: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(unaudited)</w:t>
            </w: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54,632</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2,453</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57,085</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30,531</w:t>
            </w:r>
          </w:p>
        </w:tc>
        <w:tc>
          <w:tcPr>
            <w:tcW w:w="5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Building construction in progress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87,616</w:t>
            </w: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67,050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2,697</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2,626</w:t>
            </w: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5,323</w:t>
            </w:r>
          </w:p>
        </w:tc>
        <w:tc>
          <w:tcPr>
            <w:tcW w:w="5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Deferred rent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5,346</w:t>
            </w:r>
          </w:p>
        </w:tc>
        <w:tc>
          <w:tcPr>
            <w:tcW w:w="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Preferred stock, no par value, unlimited shares authorized, no shares outstanding</w:t>
            </w:r>
          </w:p>
        </w:tc>
        <w:tc>
          <w:tcPr>
            <w:tcW w:w="16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no par value, unlimited shares authorized, 35,215,222 and 32,627,691 shares outstanding at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March 31, 2017 and December 31, 2016, respectively</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276,079</w:t>
            </w: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166</w:t>
            </w:r>
          </w:p>
        </w:tc>
        <w:tc>
          <w:tcPr>
            <w:tcW w:w="5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(193,975)</w:t>
            </w: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82,270</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87,616</w:t>
            </w:r>
          </w:p>
        </w:tc>
        <w:tc>
          <w:tcPr>
            <w:tcW w:w="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8,188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2,083</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10,271</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loss</w:t>
            </w:r>
          </w:p>
        </w:tc>
        <w:tc>
          <w:tcPr>
            <w:tcW w:w="2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loss</w:t>
            </w:r>
          </w:p>
        </w:tc>
        <w:tc>
          <w:tcPr>
            <w:tcW w:w="2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(10,257)</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2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gridSpan w:val="2"/>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(0.32)</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33,291,672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32,292,106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jc w:val="center"/>
        <w:ind w:left="3560"/>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left="3560"/>
        <w:spacing w:after="0"/>
        <w:rPr>
          <w:sz w:val="20"/>
          <w:szCs w:val="20"/>
          <w:color w:val="auto"/>
        </w:rPr>
      </w:pPr>
      <w:r>
        <w:rPr>
          <w:rFonts w:ascii="Arial" w:cs="Arial" w:eastAsia="Arial" w:hAnsi="Arial"/>
          <w:sz w:val="16"/>
          <w:szCs w:val="16"/>
          <w:color w:val="auto"/>
        </w:rPr>
        <w:t>Consolidated Statements of Comprehensive Loss</w:t>
      </w:r>
    </w:p>
    <w:p>
      <w:pPr>
        <w:spacing w:after="0" w:line="32" w:lineRule="exact"/>
        <w:rPr>
          <w:sz w:val="20"/>
          <w:szCs w:val="20"/>
          <w:color w:val="auto"/>
        </w:rPr>
      </w:pPr>
    </w:p>
    <w:p>
      <w:pPr>
        <w:jc w:val="center"/>
        <w:ind w:left="356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p>
      <w:pPr>
        <w:ind w:left="520"/>
        <w:spacing w:after="0"/>
        <w:tabs>
          <w:tab w:leader="none" w:pos="196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9" w:lineRule="exact"/>
        <w:rPr>
          <w:sz w:val="20"/>
          <w:szCs w:val="20"/>
          <w:color w:val="auto"/>
        </w:rPr>
      </w:pPr>
    </w:p>
    <w:p>
      <w:pPr>
        <w:ind w:left="240"/>
        <w:spacing w:after="0"/>
        <w:tabs>
          <w:tab w:leader="none" w:pos="1700" w:val="left"/>
        </w:tabs>
        <w:rPr>
          <w:sz w:val="20"/>
          <w:szCs w:val="20"/>
          <w:color w:val="auto"/>
        </w:rPr>
      </w:pPr>
      <w:r>
        <w:rPr>
          <w:rFonts w:ascii="Arial" w:cs="Arial" w:eastAsia="Arial" w:hAnsi="Arial"/>
          <w:sz w:val="18"/>
          <w:szCs w:val="18"/>
          <w:b w:val="1"/>
          <w:bCs w:val="1"/>
          <w:color w:val="auto"/>
        </w:rPr>
        <w:t>(unaudited)</w:t>
      </w:r>
      <w:r>
        <w:rPr>
          <w:sz w:val="20"/>
          <w:szCs w:val="20"/>
          <w:color w:val="auto"/>
        </w:rPr>
        <w:tab/>
      </w: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8008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(10,563)</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(10,257)</w:t>
            </w:r>
          </w:p>
        </w:tc>
      </w:tr>
      <w:tr>
        <w:trPr>
          <w:trHeight w:val="230"/>
        </w:trPr>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(10,453)</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(10,219)</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860" w:space="720"/>
            <w:col w:w="2840"/>
          </w:cols>
          <w:pgMar w:left="240" w:top="68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(unaudited)</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(10,563)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rent</w:t>
            </w: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Expenditure on building construction</w:t>
            </w:r>
          </w:p>
        </w:tc>
        <w:tc>
          <w:tcPr>
            <w:tcW w:w="1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warrants, net</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32,620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Issuance of common stock under stock option plan</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32,713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rPr>
          <w:sz w:val="20"/>
          <w:szCs w:val="20"/>
          <w:color w:val="auto"/>
        </w:rPr>
      </w:pPr>
      <w:r>
        <w:rPr>
          <w:rFonts w:ascii="Arial" w:cs="Arial" w:eastAsia="Arial" w:hAnsi="Arial"/>
          <w:sz w:val="18"/>
          <w:szCs w:val="18"/>
          <w:color w:val="auto"/>
        </w:rPr>
        <w:t>Net change in 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20,308</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(12,826)</w:t>
            </w:r>
          </w:p>
        </w:tc>
      </w:tr>
      <w:tr>
        <w:trPr>
          <w:trHeight w:val="230"/>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34,324</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91,051</w:t>
            </w:r>
          </w:p>
        </w:tc>
      </w:tr>
      <w:tr>
        <w:trPr>
          <w:trHeight w:val="223"/>
        </w:trPr>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54,632</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78,225</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688"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16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3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Accrued purchases of property and equipment</w:t>
            </w:r>
          </w:p>
        </w:tc>
        <w:tc>
          <w:tcPr>
            <w:tcW w:w="3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101</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Accrued expenditure on building construction</w:t>
            </w:r>
          </w:p>
        </w:tc>
        <w:tc>
          <w:tcPr>
            <w:tcW w:w="3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1,963</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Receivable on issuance of common stock under stock option plan</w:t>
            </w:r>
          </w:p>
        </w:tc>
        <w:tc>
          <w:tcPr>
            <w:tcW w:w="3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223</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w:t>
      </w:r>
    </w:p>
    <w:p>
      <w:pPr>
        <w:spacing w:after="0" w:line="315"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337" w:lineRule="exact"/>
        <w:rPr>
          <w:sz w:val="20"/>
          <w:szCs w:val="20"/>
          <w:color w:val="auto"/>
        </w:rPr>
      </w:pPr>
    </w:p>
    <w:p>
      <w:pPr>
        <w:ind w:right="60" w:firstLine="713"/>
        <w:spacing w:after="0" w:line="257" w:lineRule="auto"/>
        <w:rPr>
          <w:sz w:val="20"/>
          <w:szCs w:val="20"/>
          <w:color w:val="auto"/>
        </w:rPr>
      </w:pPr>
      <w:r>
        <w:rPr>
          <w:rFonts w:ascii="Arial" w:cs="Arial" w:eastAsia="Arial" w:hAnsi="Arial"/>
          <w:sz w:val="18"/>
          <w:szCs w:val="18"/>
          <w:color w:val="auto"/>
        </w:rPr>
        <w:t>XBiotech Inc. (“XBiotech” or “the Company”) was incorporated in Canada on March 22, 2005. XBiotech USA, Inc., a wholly-owned subsidiary of the Company, was incorporated in Delaware, United States (“U.S.”) in November 2007. XBiotech Switzerland AG, a wholly-owned subsidiary of the Company, was incorporated in Zug, Switzerland in August 2010. XBiotech Japan K.K., a wholly-owned subsidiary of the Company, was incorporated in Tokyo, Japan in March 2013. XBiotech Germany GmbH, a wholly-owned subsidiary of the Company, was incorporated in Germany in January 2014. The Company’s headquarters are located in Austin, Texas.</w:t>
      </w:r>
    </w:p>
    <w:p>
      <w:pPr>
        <w:spacing w:after="0" w:line="188" w:lineRule="exact"/>
        <w:rPr>
          <w:sz w:val="20"/>
          <w:szCs w:val="20"/>
          <w:color w:val="auto"/>
        </w:rPr>
      </w:pPr>
    </w:p>
    <w:p>
      <w:pPr>
        <w:ind w:firstLine="713"/>
        <w:spacing w:after="0" w:line="273" w:lineRule="auto"/>
        <w:rPr>
          <w:sz w:val="20"/>
          <w:szCs w:val="20"/>
          <w:color w:val="auto"/>
        </w:rPr>
      </w:pPr>
      <w:r>
        <w:rPr>
          <w:rFonts w:ascii="Arial" w:cs="Arial" w:eastAsia="Arial" w:hAnsi="Arial"/>
          <w:sz w:val="17"/>
          <w:szCs w:val="17"/>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The Company believes that naturally occurring monoclonal antibodies have the potential to be safer and more effective than their non-naturally occurring counterparts. XBiotech is focused on developing its True Human™ pipeline and manufacturing system. The Company’s pipeline consists of product candidates at various stages of development across an array of indications including oncology, dermatology, and other inflammatory conditions such as peripheral vascular disease and type 2 diabetes.</w:t>
      </w:r>
    </w:p>
    <w:p>
      <w:pPr>
        <w:spacing w:after="0" w:line="283"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40" w:firstLine="713"/>
        <w:spacing w:after="0" w:line="257" w:lineRule="auto"/>
        <w:rPr>
          <w:sz w:val="20"/>
          <w:szCs w:val="20"/>
          <w:color w:val="auto"/>
        </w:rPr>
      </w:pPr>
      <w:r>
        <w:rPr>
          <w:rFonts w:ascii="Arial" w:cs="Arial" w:eastAsia="Arial" w:hAnsi="Arial"/>
          <w:sz w:val="18"/>
          <w:szCs w:val="18"/>
          <w:color w:val="auto"/>
        </w:rPr>
        <w:t>These consolidated financial statements have been prepared in conformity with accounting principles generally accepted in the United States (“US GAAP”). In the opinion of management, the accompanying consolidated financial statements reflect all adjustments (consisting only of normal recurring items) considered necessary to present fairly our financial position at March 31, 2017 and December 31, 2016, the results of our operations and comprehensive loss for the three month periods ended March 31, 2017 and 2016, and the cash flows for the three month periods ended March 31, 2017 and 2016.</w:t>
      </w:r>
    </w:p>
    <w:p>
      <w:pPr>
        <w:spacing w:after="0" w:line="188"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During the first quarter of 2017, management identified a prior year error resulting in an overstatement of clinical trial expenses for the year ended and a corresponding over accrual as of December 31, 2016 of $1 million, resulting in an understatement of clinical trial expenses in Q1 2017. Management evaluated the impact of the adjustment and determined that the amount is immaterial to the consolidated financial statements for the prior year as well as the expected loss for the current year. As such, the entire amount was recorded during the three months ended March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600" w:firstLine="713"/>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60" w:firstLine="713"/>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U.S. requires management to make estimates and assumptions that affect the reported values of amounts in the financial statements and accompanying notes. Actual results could differ from those estimates.</w:t>
      </w:r>
    </w:p>
    <w:p>
      <w:pPr>
        <w:spacing w:after="0" w:line="181" w:lineRule="exact"/>
        <w:rPr>
          <w:sz w:val="20"/>
          <w:szCs w:val="20"/>
          <w:color w:val="auto"/>
        </w:rPr>
      </w:pPr>
    </w:p>
    <w:p>
      <w:pPr>
        <w:ind w:firstLine="713"/>
        <w:spacing w:after="0" w:line="257" w:lineRule="auto"/>
        <w:rPr>
          <w:sz w:val="20"/>
          <w:szCs w:val="20"/>
          <w:color w:val="auto"/>
        </w:rPr>
      </w:pPr>
      <w:r>
        <w:rPr>
          <w:rFonts w:ascii="Arial" w:cs="Arial" w:eastAsia="Arial" w:hAnsi="Arial"/>
          <w:sz w:val="18"/>
          <w:szCs w:val="18"/>
          <w:color w:val="auto"/>
        </w:rPr>
        <w:t>Prior to its initial public offering on April 15, 2015, the Company utilized significant estimates and assumptions in determining the fair value of its common stock. The board of directors determined the estimated fair value of the Company’s common stock based on a number of objective and subjective factors, including the prices at which the Company sold shares of its common stock to third parties and external market conditions affecting the biotechnology industry sector. After the initial public offering, the fair market value is calculated by using the closing price of the Company’s common stock as reported by NASDAQ.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20" w:firstLine="713"/>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ind w:right="160" w:firstLine="713"/>
        <w:spacing w:after="0" w:line="277"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0" w:firstLine="713"/>
        <w:spacing w:after="0" w:line="271" w:lineRule="auto"/>
        <w:rPr>
          <w:sz w:val="20"/>
          <w:szCs w:val="20"/>
          <w:color w:val="auto"/>
        </w:rPr>
      </w:pPr>
      <w:r>
        <w:rPr>
          <w:rFonts w:ascii="Arial" w:cs="Arial" w:eastAsia="Arial" w:hAnsi="Arial"/>
          <w:sz w:val="17"/>
          <w:szCs w:val="17"/>
          <w:color w:val="auto"/>
        </w:rPr>
        <w:t xml:space="preserve">The Company accounts for its share-based compensation awards 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For awards subject to service-based vesting conditions, the Company recognizes share-based compensation expense, equal to the grant date fair value of stock options on a straight-line basis over the requisite service period.</w:t>
      </w:r>
    </w:p>
    <w:p>
      <w:pPr>
        <w:spacing w:after="0" w:line="179" w:lineRule="exact"/>
        <w:rPr>
          <w:sz w:val="20"/>
          <w:szCs w:val="20"/>
          <w:color w:val="auto"/>
        </w:rPr>
      </w:pPr>
    </w:p>
    <w:p>
      <w:pPr>
        <w:ind w:right="20" w:firstLine="713"/>
        <w:spacing w:after="0" w:line="277" w:lineRule="auto"/>
        <w:rPr>
          <w:sz w:val="20"/>
          <w:szCs w:val="20"/>
          <w:color w:val="auto"/>
        </w:rPr>
      </w:pPr>
      <w:r>
        <w:rPr>
          <w:rFonts w:ascii="Arial" w:cs="Arial" w:eastAsia="Arial" w:hAnsi="Arial"/>
          <w:sz w:val="18"/>
          <w:szCs w:val="18"/>
          <w:color w:val="auto"/>
        </w:rPr>
        <w:t>Share-based compensation expense recognized for the three months ended March 31, 2017 and 2016 was included in the following line items on the Consolidated Statement of Operations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p>
        </w:tc>
        <w:tc>
          <w:tcPr>
            <w:tcW w:w="37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2017</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19"/>
                <w:szCs w:val="19"/>
                <w:color w:val="auto"/>
              </w:rPr>
            </w:pPr>
          </w:p>
        </w:tc>
        <w:tc>
          <w:tcPr>
            <w:tcW w:w="376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8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430</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8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20" w:type="dxa"/>
            <w:vAlign w:val="bottom"/>
            <w:gridSpan w:val="5"/>
          </w:tcPr>
          <w:p>
            <w:pPr>
              <w:ind w:left="720"/>
              <w:spacing w:after="0"/>
              <w:rPr>
                <w:sz w:val="20"/>
                <w:szCs w:val="20"/>
                <w:color w:val="auto"/>
              </w:rPr>
            </w:pPr>
            <w:r>
              <w:rPr>
                <w:rFonts w:ascii="Arial" w:cs="Arial" w:eastAsia="Arial" w:hAnsi="Arial"/>
                <w:sz w:val="18"/>
                <w:szCs w:val="18"/>
                <w:color w:val="auto"/>
                <w:w w:val="95"/>
              </w:rPr>
              <w:t>The fair value of each option is estimated on the date of grant using the Black-Scholes method with the following assumptions:</w:t>
            </w: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2017</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2016</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40"/>
              <w:spacing w:after="0"/>
              <w:rPr>
                <w:sz w:val="20"/>
                <w:szCs w:val="20"/>
                <w:color w:val="auto"/>
              </w:rPr>
            </w:pPr>
            <w:r>
              <w:rPr>
                <w:rFonts w:ascii="Arial" w:cs="Arial" w:eastAsia="Arial" w:hAnsi="Arial"/>
                <w:sz w:val="18"/>
                <w:szCs w:val="18"/>
                <w:color w:val="auto"/>
              </w:rPr>
              <w:t>67%</w:t>
            </w: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2.41%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20" w:type="dxa"/>
            <w:vAlign w:val="bottom"/>
          </w:tcPr>
          <w:p>
            <w:pPr>
              <w:jc w:val="right"/>
              <w:spacing w:after="0"/>
              <w:rPr>
                <w:sz w:val="20"/>
                <w:szCs w:val="20"/>
                <w:color w:val="auto"/>
              </w:rPr>
            </w:pPr>
            <w:r>
              <w:rPr>
                <w:rFonts w:ascii="Arial" w:cs="Arial" w:eastAsia="Arial" w:hAnsi="Arial"/>
                <w:sz w:val="18"/>
                <w:szCs w:val="18"/>
                <w:color w:val="auto"/>
              </w:rPr>
              <w:t>6.25</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40"/>
              <w:spacing w:after="0"/>
              <w:rPr>
                <w:sz w:val="20"/>
                <w:szCs w:val="20"/>
                <w:color w:val="auto"/>
              </w:rPr>
            </w:pPr>
            <w:r>
              <w:rPr>
                <w:rFonts w:ascii="Arial" w:cs="Arial" w:eastAsia="Arial" w:hAnsi="Arial"/>
                <w:sz w:val="18"/>
                <w:szCs w:val="18"/>
                <w:color w:val="auto"/>
              </w:rPr>
              <w:t>10</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$8.24</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$8.01</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40" w:firstLine="713"/>
        <w:spacing w:after="0" w:line="264" w:lineRule="auto"/>
        <w:rPr>
          <w:sz w:val="20"/>
          <w:szCs w:val="20"/>
          <w:color w:val="auto"/>
        </w:rPr>
      </w:pPr>
      <w:r>
        <w:rPr>
          <w:rFonts w:ascii="Arial" w:cs="Arial" w:eastAsia="Arial" w:hAnsi="Arial"/>
          <w:sz w:val="18"/>
          <w:szCs w:val="18"/>
          <w:color w:val="auto"/>
        </w:rPr>
        <w:t>The Company considers highly liquid investments with a maturity of three months or less when purchased to be cash equivalents. Cash and cash equivalents consisted primarily of cash on deposit in U.S., German, Swiss, Japanese and Canadian banks. Cash and cash equivalents are stated at cost which approximates fair value.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80" w:firstLine="713"/>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firstLine="713"/>
        <w:spacing w:after="0" w:line="264"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81" w:lineRule="exact"/>
        <w:rPr>
          <w:sz w:val="20"/>
          <w:szCs w:val="20"/>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225" w:lineRule="exact"/>
        <w:rPr>
          <w:rFonts w:ascii="Arial" w:cs="Arial" w:eastAsia="Arial" w:hAnsi="Arial"/>
          <w:sz w:val="18"/>
          <w:szCs w:val="18"/>
          <w:color w:val="auto"/>
        </w:rPr>
      </w:pPr>
    </w:p>
    <w:p>
      <w:pPr>
        <w:ind w:left="880" w:right="560" w:hanging="33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70" w:lineRule="exact"/>
        <w:rPr>
          <w:rFonts w:ascii="Arial" w:cs="Arial" w:eastAsia="Arial" w:hAnsi="Arial"/>
          <w:sz w:val="18"/>
          <w:szCs w:val="18"/>
          <w:color w:val="auto"/>
        </w:rPr>
      </w:pPr>
    </w:p>
    <w:p>
      <w:pPr>
        <w:ind w:left="880" w:right="200" w:hanging="33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70" w:lineRule="exact"/>
        <w:rPr>
          <w:sz w:val="20"/>
          <w:szCs w:val="20"/>
          <w:color w:val="auto"/>
        </w:rPr>
      </w:pPr>
    </w:p>
    <w:p>
      <w:pPr>
        <w:jc w:val="both"/>
        <w:ind w:right="100" w:firstLine="713"/>
        <w:spacing w:after="0" w:line="286" w:lineRule="auto"/>
        <w:rPr>
          <w:sz w:val="20"/>
          <w:szCs w:val="20"/>
          <w:color w:val="auto"/>
        </w:rPr>
      </w:pPr>
      <w:r>
        <w:rPr>
          <w:rFonts w:ascii="Arial" w:cs="Arial" w:eastAsia="Arial" w:hAnsi="Arial"/>
          <w:sz w:val="17"/>
          <w:szCs w:val="17"/>
          <w:color w:val="auto"/>
        </w:rPr>
        <w:t>At March 31, 2017 and December 31, 2016, the Company did not have any assets or liabilities that are measured at fair value on a recurring basis. The carrying amounts reflected in the balance sheets for cash and cash equivalents, prepaid expenses and other current assets, accounts payable, and accrued expenses approximate their fair values at March 31, 2017 and December 31, 2016, due to their short-term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140" w:firstLine="713"/>
        <w:spacing w:after="0" w:line="286" w:lineRule="auto"/>
        <w:rPr>
          <w:sz w:val="20"/>
          <w:szCs w:val="20"/>
          <w:color w:val="auto"/>
        </w:rPr>
      </w:pPr>
      <w:r>
        <w:rPr>
          <w:rFonts w:ascii="Arial" w:cs="Arial" w:eastAsia="Arial" w:hAnsi="Arial"/>
          <w:sz w:val="17"/>
          <w:szCs w:val="17"/>
          <w:color w:val="auto"/>
        </w:rPr>
        <w:t>Property and equipment, which consists of land, construction in process, furniture and fixtures, computers and office equipment, scientific equipment, leasehold improvements, vehicles and building are stated at cost and depreciated over the estimated useful lives of the assets, with the exception of land and construction in process which are not depreciated, using the straight line method. The useful lives are as follows:</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ind w:left="160"/>
              <w:spacing w:after="0"/>
              <w:rPr>
                <w:sz w:val="20"/>
                <w:szCs w:val="20"/>
                <w:color w:val="auto"/>
              </w:rPr>
            </w:pPr>
            <w:r>
              <w:rPr>
                <w:rFonts w:ascii="Arial" w:cs="Arial" w:eastAsia="Arial" w:hAnsi="Arial"/>
                <w:sz w:val="18"/>
                <w:szCs w:val="18"/>
                <w:color w:val="auto"/>
              </w:rPr>
              <w:t>Furniture and fixtures</w:t>
            </w:r>
          </w:p>
        </w:tc>
        <w:tc>
          <w:tcPr>
            <w:tcW w:w="4600" w:type="dxa"/>
            <w:vAlign w:val="bottom"/>
          </w:tcPr>
          <w:p>
            <w:pPr>
              <w:ind w:left="840"/>
              <w:spacing w:after="0"/>
              <w:rPr>
                <w:sz w:val="20"/>
                <w:szCs w:val="20"/>
                <w:color w:val="auto"/>
              </w:rPr>
            </w:pPr>
            <w:r>
              <w:rPr>
                <w:rFonts w:ascii="Arial" w:cs="Arial" w:eastAsia="Arial" w:hAnsi="Arial"/>
                <w:sz w:val="18"/>
                <w:szCs w:val="18"/>
                <w:color w:val="auto"/>
              </w:rPr>
              <w:t>7 years</w:t>
            </w:r>
          </w:p>
        </w:tc>
      </w:tr>
      <w:tr>
        <w:trPr>
          <w:trHeight w:val="432"/>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ind w:left="160"/>
              <w:spacing w:after="0"/>
              <w:rPr>
                <w:sz w:val="20"/>
                <w:szCs w:val="20"/>
                <w:color w:val="auto"/>
              </w:rPr>
            </w:pPr>
            <w:r>
              <w:rPr>
                <w:rFonts w:ascii="Arial" w:cs="Arial" w:eastAsia="Arial" w:hAnsi="Arial"/>
                <w:sz w:val="18"/>
                <w:szCs w:val="18"/>
                <w:color w:val="auto"/>
              </w:rPr>
              <w:t>Office equipment</w:t>
            </w:r>
          </w:p>
        </w:tc>
        <w:tc>
          <w:tcPr>
            <w:tcW w:w="4600" w:type="dxa"/>
            <w:vAlign w:val="bottom"/>
          </w:tcPr>
          <w:p>
            <w:pPr>
              <w:ind w:left="840"/>
              <w:spacing w:after="0"/>
              <w:rPr>
                <w:sz w:val="20"/>
                <w:szCs w:val="20"/>
                <w:color w:val="auto"/>
              </w:rPr>
            </w:pPr>
            <w:r>
              <w:rPr>
                <w:rFonts w:ascii="Arial" w:cs="Arial" w:eastAsia="Arial" w:hAnsi="Arial"/>
                <w:sz w:val="18"/>
                <w:szCs w:val="18"/>
                <w:color w:val="auto"/>
              </w:rPr>
              <w:t>5 years</w:t>
            </w:r>
          </w:p>
        </w:tc>
      </w:tr>
      <w:tr>
        <w:trPr>
          <w:trHeight w:val="432"/>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ind w:left="160"/>
              <w:spacing w:after="0"/>
              <w:rPr>
                <w:sz w:val="20"/>
                <w:szCs w:val="20"/>
                <w:color w:val="auto"/>
              </w:rPr>
            </w:pPr>
            <w:r>
              <w:rPr>
                <w:rFonts w:ascii="Arial" w:cs="Arial" w:eastAsia="Arial" w:hAnsi="Arial"/>
                <w:sz w:val="18"/>
                <w:szCs w:val="18"/>
                <w:color w:val="auto"/>
              </w:rPr>
              <w:t>Leasehold improvements</w:t>
            </w:r>
          </w:p>
        </w:tc>
        <w:tc>
          <w:tcPr>
            <w:tcW w:w="4600" w:type="dxa"/>
            <w:vAlign w:val="bottom"/>
          </w:tcPr>
          <w:p>
            <w:pPr>
              <w:ind w:left="840"/>
              <w:spacing w:after="0"/>
              <w:rPr>
                <w:sz w:val="20"/>
                <w:szCs w:val="20"/>
                <w:color w:val="auto"/>
              </w:rPr>
            </w:pPr>
            <w:r>
              <w:rPr>
                <w:rFonts w:ascii="Arial" w:cs="Arial" w:eastAsia="Arial" w:hAnsi="Arial"/>
                <w:sz w:val="18"/>
                <w:szCs w:val="18"/>
                <w:color w:val="auto"/>
                <w:w w:val="90"/>
              </w:rPr>
              <w:t>Shorter of asset’s useful life or remaining lease term</w:t>
            </w:r>
          </w:p>
        </w:tc>
      </w:tr>
      <w:tr>
        <w:trPr>
          <w:trHeight w:val="432"/>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ind w:left="160"/>
              <w:spacing w:after="0"/>
              <w:rPr>
                <w:sz w:val="20"/>
                <w:szCs w:val="20"/>
                <w:color w:val="auto"/>
              </w:rPr>
            </w:pPr>
            <w:r>
              <w:rPr>
                <w:rFonts w:ascii="Arial" w:cs="Arial" w:eastAsia="Arial" w:hAnsi="Arial"/>
                <w:sz w:val="18"/>
                <w:szCs w:val="18"/>
                <w:color w:val="auto"/>
              </w:rPr>
              <w:t>Scientific equipment</w:t>
            </w:r>
          </w:p>
        </w:tc>
        <w:tc>
          <w:tcPr>
            <w:tcW w:w="4600" w:type="dxa"/>
            <w:vAlign w:val="bottom"/>
          </w:tcPr>
          <w:p>
            <w:pPr>
              <w:ind w:left="840"/>
              <w:spacing w:after="0"/>
              <w:rPr>
                <w:sz w:val="20"/>
                <w:szCs w:val="20"/>
                <w:color w:val="auto"/>
              </w:rPr>
            </w:pPr>
            <w:r>
              <w:rPr>
                <w:rFonts w:ascii="Arial" w:cs="Arial" w:eastAsia="Arial" w:hAnsi="Arial"/>
                <w:sz w:val="18"/>
                <w:szCs w:val="18"/>
                <w:color w:val="auto"/>
              </w:rPr>
              <w:t>5 years</w:t>
            </w:r>
          </w:p>
        </w:tc>
      </w:tr>
      <w:tr>
        <w:trPr>
          <w:trHeight w:val="432"/>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ind w:left="160"/>
              <w:spacing w:after="0"/>
              <w:rPr>
                <w:sz w:val="20"/>
                <w:szCs w:val="20"/>
                <w:color w:val="auto"/>
              </w:rPr>
            </w:pPr>
            <w:r>
              <w:rPr>
                <w:rFonts w:ascii="Arial" w:cs="Arial" w:eastAsia="Arial" w:hAnsi="Arial"/>
                <w:sz w:val="18"/>
                <w:szCs w:val="18"/>
                <w:color w:val="auto"/>
              </w:rPr>
              <w:t>Vehicles</w:t>
            </w:r>
          </w:p>
        </w:tc>
        <w:tc>
          <w:tcPr>
            <w:tcW w:w="4600" w:type="dxa"/>
            <w:vAlign w:val="bottom"/>
          </w:tcPr>
          <w:p>
            <w:pPr>
              <w:ind w:left="840"/>
              <w:spacing w:after="0"/>
              <w:rPr>
                <w:sz w:val="20"/>
                <w:szCs w:val="20"/>
                <w:color w:val="auto"/>
              </w:rPr>
            </w:pPr>
            <w:r>
              <w:rPr>
                <w:rFonts w:ascii="Arial" w:cs="Arial" w:eastAsia="Arial" w:hAnsi="Arial"/>
                <w:sz w:val="18"/>
                <w:szCs w:val="18"/>
                <w:color w:val="auto"/>
              </w:rPr>
              <w:t>5 years</w:t>
            </w:r>
          </w:p>
        </w:tc>
      </w:tr>
      <w:tr>
        <w:trPr>
          <w:trHeight w:val="432"/>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ind w:left="160"/>
              <w:spacing w:after="0"/>
              <w:rPr>
                <w:sz w:val="20"/>
                <w:szCs w:val="20"/>
                <w:color w:val="auto"/>
              </w:rPr>
            </w:pPr>
            <w:r>
              <w:rPr>
                <w:rFonts w:ascii="Arial" w:cs="Arial" w:eastAsia="Arial" w:hAnsi="Arial"/>
                <w:sz w:val="18"/>
                <w:szCs w:val="18"/>
                <w:color w:val="auto"/>
              </w:rPr>
              <w:t>Building</w:t>
            </w:r>
          </w:p>
        </w:tc>
        <w:tc>
          <w:tcPr>
            <w:tcW w:w="4600" w:type="dxa"/>
            <w:vAlign w:val="bottom"/>
          </w:tcPr>
          <w:p>
            <w:pPr>
              <w:ind w:left="840"/>
              <w:spacing w:after="0"/>
              <w:rPr>
                <w:sz w:val="20"/>
                <w:szCs w:val="20"/>
                <w:color w:val="auto"/>
              </w:rPr>
            </w:pPr>
            <w:r>
              <w:rPr>
                <w:rFonts w:ascii="Arial" w:cs="Arial" w:eastAsia="Arial" w:hAnsi="Arial"/>
                <w:sz w:val="18"/>
                <w:szCs w:val="18"/>
                <w:color w:val="auto"/>
              </w:rPr>
              <w:t>39 years</w:t>
            </w:r>
          </w:p>
        </w:tc>
      </w:tr>
    </w:tbl>
    <w:p>
      <w:pPr>
        <w:spacing w:after="0" w:line="202" w:lineRule="exact"/>
        <w:rPr>
          <w:sz w:val="20"/>
          <w:szCs w:val="20"/>
          <w:color w:val="auto"/>
        </w:rPr>
      </w:pPr>
    </w:p>
    <w:p>
      <w:pPr>
        <w:ind w:right="80" w:firstLine="713"/>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firstLine="713"/>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Potential impairment is assessed when there is evidence that events or changes in circumstances indicate that the carrying amount of an asset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March 31, 2017.</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40" w:firstLine="713"/>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180" w:firstLine="713"/>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ind w:right="120" w:firstLine="713"/>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right="320" w:firstLine="713"/>
        <w:spacing w:after="0" w:line="312" w:lineRule="auto"/>
        <w:rPr>
          <w:sz w:val="20"/>
          <w:szCs w:val="20"/>
          <w:color w:val="auto"/>
        </w:rPr>
      </w:pPr>
      <w:r>
        <w:rPr>
          <w:rFonts w:ascii="Arial" w:cs="Arial" w:eastAsia="Arial" w:hAnsi="Arial"/>
          <w:sz w:val="16"/>
          <w:szCs w:val="16"/>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right="60" w:firstLine="713"/>
        <w:spacing w:after="0" w:line="264"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We have evaluated subsequent events through the date of filing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713"/>
        <w:spacing w:after="0" w:line="257" w:lineRule="auto"/>
        <w:rPr>
          <w:sz w:val="20"/>
          <w:szCs w:val="20"/>
          <w:color w:val="auto"/>
        </w:rPr>
      </w:pPr>
      <w:r>
        <w:rPr>
          <w:rFonts w:ascii="Arial" w:cs="Arial" w:eastAsia="Arial" w:hAnsi="Arial"/>
          <w:sz w:val="18"/>
          <w:szCs w:val="18"/>
          <w:color w:val="auto"/>
        </w:rPr>
        <w:t>In February 2016, the FASB issued ASU No. 2016-02, “Leases.” ASU 2016-02 requires companies that lease assets to recognize a right-of-use asset and a lease liability, initially measured at the present value of the lease payments, in its balance sheet. The pronouncement will also require additional disclosures about the amount, timing and uncertainty of cash flows arising from leases. This pronouncement is effective for fiscal years, and interim periods within those years, beginning after December 15, 2018, and early adoption is permitted. Management is currently evaluating the impact of this pronouncement on XBiotech’s consolidated financial statements.</w:t>
      </w:r>
    </w:p>
    <w:p>
      <w:pPr>
        <w:spacing w:after="0" w:line="188" w:lineRule="exact"/>
        <w:rPr>
          <w:sz w:val="20"/>
          <w:szCs w:val="20"/>
          <w:color w:val="auto"/>
        </w:rPr>
      </w:pPr>
    </w:p>
    <w:p>
      <w:pPr>
        <w:ind w:firstLine="713"/>
        <w:spacing w:after="0" w:line="270" w:lineRule="auto"/>
        <w:rPr>
          <w:sz w:val="20"/>
          <w:szCs w:val="20"/>
          <w:color w:val="auto"/>
        </w:rPr>
      </w:pPr>
      <w:r>
        <w:rPr>
          <w:rFonts w:ascii="Arial" w:cs="Arial" w:eastAsia="Arial" w:hAnsi="Arial"/>
          <w:sz w:val="17"/>
          <w:szCs w:val="17"/>
          <w:color w:val="auto"/>
        </w:rPr>
        <w:t>In March 2016, the FASB issued ASU No. 2016-09, “Stock Compensation,” which is intended to simplify several aspects of the accounting for share-based payment award transactions. The guidance requires the recognition of the income tax effects of awards in the income statement when the awards vest or are settled, thus eliminating additional paid in capital pools. The Company adopted this pronouncement effective January 1, 2017. Upon adoption, the Company recognized approximately $491 thousand of accumulated excess tax benefits as deferred tax assets that under the previous guidance could not be recognized until the benefits were realized through a reduction in cash taxes paid. This part of the guidance is applied using a modified retrospective method with a cumulative-effect adjustment to the accumulated deficit for the excess tax benefits not previously recognized. However, given the full valuation allowance placed on the additional $491 thousand of deferred tax assets, the recognition of this provision of ASU 2016-09 had no impact to the Company’s accumulated deficit as of January 1, 2017. In addition, the guidance allows for a policy election to account for forfeitures as they occur rather than on an estimated basis. We elected to account for forfeitures as they occur using a modified retrospective transition method. The adoption of this one-time accounting policy election did not have a material impact on our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ind w:left="720" w:hanging="712"/>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33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Pursuant to its Articles, the Company has an unlimited number of shares available for issuance with no par value.</w:t>
      </w:r>
    </w:p>
    <w:p>
      <w:pPr>
        <w:spacing w:after="0" w:line="225" w:lineRule="exact"/>
        <w:rPr>
          <w:sz w:val="20"/>
          <w:szCs w:val="20"/>
          <w:color w:val="auto"/>
        </w:rPr>
      </w:pPr>
    </w:p>
    <w:p>
      <w:pPr>
        <w:ind w:right="140" w:firstLine="713"/>
        <w:spacing w:after="0" w:line="277" w:lineRule="auto"/>
        <w:rPr>
          <w:sz w:val="20"/>
          <w:szCs w:val="20"/>
          <w:color w:val="auto"/>
        </w:rPr>
      </w:pPr>
      <w:r>
        <w:rPr>
          <w:rFonts w:ascii="Arial" w:cs="Arial" w:eastAsia="Arial" w:hAnsi="Arial"/>
          <w:sz w:val="18"/>
          <w:szCs w:val="18"/>
          <w:color w:val="auto"/>
        </w:rPr>
        <w:t>From January through December 2016, 204 thousand shares of common stock were issued upon the exercise of stock options at a price of $0.74 to $19.09 per share for total proceeds of $1.1 million.</w:t>
      </w:r>
    </w:p>
    <w:p>
      <w:pPr>
        <w:spacing w:after="0" w:line="170" w:lineRule="exact"/>
        <w:rPr>
          <w:sz w:val="20"/>
          <w:szCs w:val="20"/>
          <w:color w:val="auto"/>
        </w:rPr>
      </w:pPr>
    </w:p>
    <w:p>
      <w:pPr>
        <w:ind w:right="280" w:firstLine="713"/>
        <w:spacing w:after="0" w:line="277" w:lineRule="auto"/>
        <w:rPr>
          <w:sz w:val="20"/>
          <w:szCs w:val="20"/>
          <w:color w:val="auto"/>
        </w:rPr>
      </w:pPr>
      <w:r>
        <w:rPr>
          <w:rFonts w:ascii="Arial" w:cs="Arial" w:eastAsia="Arial" w:hAnsi="Arial"/>
          <w:sz w:val="18"/>
          <w:szCs w:val="18"/>
          <w:color w:val="auto"/>
        </w:rPr>
        <w:t>From November through December 2016, under the Common Stock Sales Agreement with H.C. Wainwright &amp; Co. LLC, the Company sold 145 thousand shares of common stock at a price between $13.60 to $14.17 per share for total proceeds of $1.8 million.</w:t>
      </w:r>
    </w:p>
    <w:p>
      <w:pPr>
        <w:spacing w:after="0" w:line="170" w:lineRule="exact"/>
        <w:rPr>
          <w:sz w:val="20"/>
          <w:szCs w:val="20"/>
          <w:color w:val="auto"/>
        </w:rPr>
      </w:pPr>
    </w:p>
    <w:p>
      <w:pPr>
        <w:ind w:right="100" w:firstLine="713"/>
        <w:spacing w:after="0" w:line="277" w:lineRule="auto"/>
        <w:rPr>
          <w:sz w:val="20"/>
          <w:szCs w:val="20"/>
          <w:color w:val="auto"/>
        </w:rPr>
      </w:pPr>
      <w:r>
        <w:rPr>
          <w:rFonts w:ascii="Arial" w:cs="Arial" w:eastAsia="Arial" w:hAnsi="Arial"/>
          <w:sz w:val="18"/>
          <w:szCs w:val="18"/>
          <w:color w:val="auto"/>
        </w:rPr>
        <w:t>In February 2017, under the Common Stock Sales agreement with H.C. Wainwright &amp; Co. LLC, the Company sold 87 thousand shares of common stock at a price between $12.09 to $12.37 per share for total proceeds of $1.0 million.</w:t>
      </w:r>
    </w:p>
    <w:p>
      <w:pPr>
        <w:spacing w:after="0" w:line="170" w:lineRule="exact"/>
        <w:rPr>
          <w:sz w:val="20"/>
          <w:szCs w:val="20"/>
          <w:color w:val="auto"/>
        </w:rPr>
      </w:pPr>
    </w:p>
    <w:p>
      <w:pPr>
        <w:ind w:right="220" w:firstLine="713"/>
        <w:spacing w:after="0" w:line="264" w:lineRule="auto"/>
        <w:rPr>
          <w:sz w:val="20"/>
          <w:szCs w:val="20"/>
          <w:color w:val="auto"/>
        </w:rPr>
      </w:pPr>
      <w:r>
        <w:rPr>
          <w:rFonts w:ascii="Arial" w:cs="Arial" w:eastAsia="Arial" w:hAnsi="Arial"/>
          <w:sz w:val="18"/>
          <w:szCs w:val="18"/>
          <w:color w:val="auto"/>
        </w:rPr>
        <w:t>In March 2017, the Company sold 2.4 million shares of common stock for total proceeds of approximately $31.6 million from investors. Also, 66 thousand shares of common stock were issued upon the exercise of stock options at the price between $2.50 to $14.71 per share for total proceeds of $315 thousand.</w:t>
      </w:r>
    </w:p>
    <w:p>
      <w:pPr>
        <w:spacing w:after="0" w:line="177"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Options</w:t>
      </w:r>
    </w:p>
    <w:p>
      <w:pPr>
        <w:spacing w:after="0" w:line="337" w:lineRule="exact"/>
        <w:rPr>
          <w:sz w:val="20"/>
          <w:szCs w:val="20"/>
          <w:color w:val="auto"/>
        </w:rPr>
      </w:pPr>
    </w:p>
    <w:p>
      <w:pPr>
        <w:ind w:right="300" w:firstLine="713"/>
        <w:spacing w:after="0" w:line="264" w:lineRule="auto"/>
        <w:rPr>
          <w:sz w:val="20"/>
          <w:szCs w:val="20"/>
          <w:color w:val="auto"/>
        </w:rPr>
      </w:pPr>
      <w:r>
        <w:rPr>
          <w:rFonts w:ascii="Arial" w:cs="Arial" w:eastAsia="Arial" w:hAnsi="Arial"/>
          <w:sz w:val="18"/>
          <w:szCs w:val="18"/>
          <w:color w:val="auto"/>
        </w:rPr>
        <w:t>On November 11, 2005 and April 1, 2015, the board of directors of the Company adopted stock option plans (“the Plans”) pursuant to which the Company may grant incentive stock options to directors, officers, employees or consultants of the Company or an affiliate or other persons as the Compensation Committee may approve.</w:t>
      </w:r>
    </w:p>
    <w:p>
      <w:pPr>
        <w:spacing w:after="0" w:line="181" w:lineRule="exact"/>
        <w:rPr>
          <w:sz w:val="20"/>
          <w:szCs w:val="20"/>
          <w:color w:val="auto"/>
        </w:rPr>
      </w:pPr>
    </w:p>
    <w:p>
      <w:pPr>
        <w:ind w:right="500" w:firstLine="713"/>
        <w:spacing w:after="0" w:line="264" w:lineRule="auto"/>
        <w:rPr>
          <w:sz w:val="20"/>
          <w:szCs w:val="20"/>
          <w:color w:val="auto"/>
        </w:rPr>
      </w:pPr>
      <w:r>
        <w:rPr>
          <w:rFonts w:ascii="Arial" w:cs="Arial" w:eastAsia="Arial" w:hAnsi="Arial"/>
          <w:sz w:val="18"/>
          <w:szCs w:val="18"/>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81" w:lineRule="exact"/>
        <w:rPr>
          <w:sz w:val="20"/>
          <w:szCs w:val="20"/>
          <w:color w:val="auto"/>
        </w:rPr>
      </w:pPr>
    </w:p>
    <w:p>
      <w:pPr>
        <w:ind w:right="20" w:firstLine="713"/>
        <w:spacing w:after="0" w:line="259"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spacing w:after="0" w:line="187" w:lineRule="exact"/>
        <w:rPr>
          <w:sz w:val="20"/>
          <w:szCs w:val="20"/>
          <w:color w:val="auto"/>
        </w:rPr>
      </w:pPr>
    </w:p>
    <w:p>
      <w:pPr>
        <w:ind w:right="120" w:firstLine="713"/>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this Plan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summary of changes in common stock options issued under the Plans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4360" w:type="dxa"/>
            <w:vAlign w:val="bottom"/>
            <w:tcBorders>
              <w:bottom w:val="single" w:sz="8" w:color="CCEEFF"/>
            </w:tcBorders>
          </w:tcPr>
          <w:p>
            <w:pPr>
              <w:spacing w:after="0"/>
              <w:rPr>
                <w:sz w:val="20"/>
                <w:szCs w:val="20"/>
                <w:color w:val="auto"/>
              </w:rPr>
            </w:pPr>
          </w:p>
        </w:tc>
        <w:tc>
          <w:tcPr>
            <w:tcW w:w="24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Options</w:t>
            </w: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Exercise Price</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2016</w:t>
            </w:r>
          </w:p>
        </w:tc>
        <w:tc>
          <w:tcPr>
            <w:tcW w:w="24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5,188,658</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$0.52</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$21.99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Granted</w:t>
            </w:r>
          </w:p>
        </w:tc>
        <w:tc>
          <w:tcPr>
            <w:tcW w:w="3900" w:type="dxa"/>
            <w:vAlign w:val="bottom"/>
            <w:gridSpan w:val="2"/>
          </w:tcPr>
          <w:p>
            <w:pPr>
              <w:jc w:val="right"/>
              <w:ind w:right="130"/>
              <w:spacing w:after="0"/>
              <w:rPr>
                <w:sz w:val="20"/>
                <w:szCs w:val="20"/>
                <w:color w:val="auto"/>
              </w:rPr>
            </w:pPr>
            <w:r>
              <w:rPr>
                <w:rFonts w:ascii="Arial" w:cs="Arial" w:eastAsia="Arial" w:hAnsi="Arial"/>
                <w:sz w:val="18"/>
                <w:szCs w:val="18"/>
                <w:color w:val="auto"/>
              </w:rPr>
              <w:t>23,000</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10.38</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140"/>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3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(66,410)</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14.71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Forfeitures</w:t>
            </w:r>
          </w:p>
        </w:tc>
        <w:tc>
          <w:tcPr>
            <w:tcW w:w="3900" w:type="dxa"/>
            <w:vAlign w:val="bottom"/>
            <w:gridSpan w:val="2"/>
          </w:tcPr>
          <w:p>
            <w:pPr>
              <w:jc w:val="right"/>
              <w:ind w:right="70"/>
              <w:spacing w:after="0"/>
              <w:rPr>
                <w:sz w:val="20"/>
                <w:szCs w:val="20"/>
                <w:color w:val="auto"/>
              </w:rPr>
            </w:pPr>
            <w:r>
              <w:rPr>
                <w:rFonts w:ascii="Arial" w:cs="Arial" w:eastAsia="Arial" w:hAnsi="Arial"/>
                <w:sz w:val="18"/>
                <w:szCs w:val="18"/>
                <w:color w:val="auto"/>
              </w:rPr>
              <w:t>(27,125)</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0.94</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14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2017</w:t>
            </w:r>
          </w:p>
        </w:tc>
        <w:tc>
          <w:tcPr>
            <w:tcW w:w="24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5,118,123</w:t>
            </w:r>
          </w:p>
        </w:tc>
        <w:tc>
          <w:tcPr>
            <w:tcW w:w="7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$0.94</w:t>
            </w:r>
          </w:p>
        </w:tc>
        <w:tc>
          <w:tcPr>
            <w:tcW w:w="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$21.99</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00" w:type="dxa"/>
            <w:vAlign w:val="bottom"/>
            <w:vMerge w:val="restart"/>
          </w:tcPr>
          <w:p>
            <w:pPr>
              <w:jc w:val="right"/>
              <w:ind w:right="870"/>
              <w:spacing w:after="0"/>
              <w:rPr>
                <w:sz w:val="20"/>
                <w:szCs w:val="20"/>
                <w:color w:val="auto"/>
              </w:rPr>
            </w:pPr>
            <w:r>
              <w:rPr>
                <w:rFonts w:ascii="Arial" w:cs="Arial" w:eastAsia="Arial" w:hAnsi="Arial"/>
                <w:sz w:val="18"/>
                <w:szCs w:val="18"/>
                <w:color w:val="auto"/>
              </w:rPr>
              <w:t>14</w:t>
            </w:r>
          </w:p>
        </w:tc>
        <w:tc>
          <w:tcPr>
            <w:tcW w:w="1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360" w:type="dxa"/>
            <w:vAlign w:val="bottom"/>
            <w:shd w:val="clear" w:color="auto" w:fill="000000"/>
          </w:tcPr>
          <w:p>
            <w:pPr>
              <w:spacing w:after="0"/>
              <w:rPr>
                <w:sz w:val="5"/>
                <w:szCs w:val="5"/>
                <w:color w:val="auto"/>
              </w:rPr>
            </w:pPr>
          </w:p>
        </w:tc>
        <w:tc>
          <w:tcPr>
            <w:tcW w:w="240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4" w:name="page15"/>
    <w:bookmarkEnd w:id="14"/>
    <w:p>
      <w:pPr>
        <w:ind w:right="240" w:firstLine="713"/>
        <w:spacing w:after="0" w:line="277" w:lineRule="auto"/>
        <w:rPr>
          <w:sz w:val="20"/>
          <w:szCs w:val="20"/>
          <w:color w:val="auto"/>
        </w:rPr>
      </w:pPr>
      <w:r>
        <w:rPr>
          <w:rFonts w:ascii="Arial" w:cs="Arial" w:eastAsia="Arial" w:hAnsi="Arial"/>
          <w:sz w:val="18"/>
          <w:szCs w:val="18"/>
          <w:color w:val="auto"/>
        </w:rPr>
        <w:t>As of March 31, 2017, there was approximately $3.2 million of unrecognized compensation cost, related to stock options granted under the Plans which will be amortized to stock compensation expense over the next 2.12 years.</w:t>
      </w:r>
    </w:p>
    <w:p>
      <w:pPr>
        <w:spacing w:after="0" w:line="166"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37" w:lineRule="exact"/>
        <w:rPr>
          <w:sz w:val="20"/>
          <w:szCs w:val="20"/>
          <w:color w:val="auto"/>
        </w:rPr>
      </w:pPr>
    </w:p>
    <w:p>
      <w:pPr>
        <w:ind w:firstLine="713"/>
        <w:spacing w:after="0" w:line="268" w:lineRule="auto"/>
        <w:rPr>
          <w:sz w:val="20"/>
          <w:szCs w:val="20"/>
          <w:color w:val="auto"/>
        </w:rPr>
      </w:pPr>
      <w:r>
        <w:rPr>
          <w:rFonts w:ascii="Arial" w:cs="Arial" w:eastAsia="Arial" w:hAnsi="Arial"/>
          <w:sz w:val="17"/>
          <w:szCs w:val="17"/>
          <w:color w:val="auto"/>
        </w:rPr>
        <w:t>XBiotech Corporate officers, Queena Han (VP of Finance) and John Simard (President and CEO), XBiotech Inc., and certain directors were named defendants in securities class action civil suits filed in federal court at the U.S. District Court for the Western District of Texas, in Austin, Texas and state court at the Los Angeles County Superior Court, in California. In the California action, the underwriter WR Hambrecht &amp; Co., LLC is also named as a defendant. These civil suits were filed on December 1, 2015. The foundation for both suits are similar in that the plaintiffs allege the officers of the Company made false and misleading statements, violating the securities laws, in the IPO documents in April 2015. Specifically, these alleged false statements in the IPO documents are in relation to the European Phase III clinical trial for Xilonix™. The allegations focus on a press release posted by XBiotech on November 23, 2015, explaining certain issues with patient data. Plaintiffs allege the company knew of these issues during the IPO and neglected to disclose them in supporting documentation filed with the Security and Exchange Commission (SEC). As a result of the news release, XBiotech (traded on the NASDAQ) stock declined. The resulting securities class action lawsuits are seeking relief for plaintiffs who report financial losses due to the alleged false and misleading statements. In September 2016, a stay was granted in the California case. Plaintiffs were, at that time, left with the opportunity to re-file in Texas prior to the decision on the motion to dismiss. Plaintiffs did not re-file in Texas before the case was dismissed with prejudice in October 2016. Plaintiffs are seeking to re-open the case in California. A hearing to address whether the case should be dismissed, remain stayed, or proceed is rescheduled for June 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713"/>
        <w:spacing w:after="0" w:line="302" w:lineRule="auto"/>
        <w:rPr>
          <w:sz w:val="20"/>
          <w:szCs w:val="20"/>
          <w:color w:val="auto"/>
        </w:rPr>
      </w:pPr>
      <w:r>
        <w:rPr>
          <w:rFonts w:ascii="Arial" w:cs="Arial" w:eastAsia="Arial" w:hAnsi="Arial"/>
          <w:sz w:val="16"/>
          <w:szCs w:val="16"/>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54" w:lineRule="exact"/>
        <w:rPr>
          <w:sz w:val="20"/>
          <w:szCs w:val="20"/>
          <w:color w:val="auto"/>
        </w:rPr>
      </w:pPr>
    </w:p>
    <w:p>
      <w:pPr>
        <w:ind w:right="100" w:firstLine="713"/>
        <w:spacing w:after="0" w:line="255" w:lineRule="auto"/>
        <w:rPr>
          <w:sz w:val="20"/>
          <w:szCs w:val="20"/>
          <w:color w:val="auto"/>
        </w:rPr>
      </w:pPr>
      <w:r>
        <w:rPr>
          <w:rFonts w:ascii="Arial" w:cs="Arial" w:eastAsia="Arial" w:hAnsi="Arial"/>
          <w:sz w:val="18"/>
          <w:szCs w:val="18"/>
          <w:color w:val="auto"/>
        </w:rPr>
        <w:t>We have never been profitable and, as of March 31, 2017, we had an accumulated deficit of $194.0 million. We had net losses of $10.6 million and $10.3 million for three months ended March 31, 2017 and 2016, respectively.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add personnel and continue to operate as a public company. We will need to generate significant revenues to achieve profitability, and we may never do so. As of March 31, 2017, we had 103 employees.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and construction of the new manufacturing facility Highlights</w:t>
      </w:r>
    </w:p>
    <w:p>
      <w:pPr>
        <w:spacing w:after="0" w:line="229" w:lineRule="exact"/>
        <w:rPr>
          <w:sz w:val="20"/>
          <w:szCs w:val="20"/>
          <w:color w:val="auto"/>
        </w:rPr>
      </w:pPr>
    </w:p>
    <w:p>
      <w:pPr>
        <w:ind w:right="20" w:firstLine="713"/>
        <w:spacing w:after="0" w:line="273" w:lineRule="auto"/>
        <w:rPr>
          <w:sz w:val="20"/>
          <w:szCs w:val="20"/>
          <w:color w:val="auto"/>
        </w:rPr>
      </w:pPr>
      <w:r>
        <w:rPr>
          <w:rFonts w:ascii="Arial" w:cs="Arial" w:eastAsia="Arial" w:hAnsi="Arial"/>
          <w:sz w:val="17"/>
          <w:szCs w:val="17"/>
          <w:color w:val="auto"/>
        </w:rPr>
        <w:t>As of March 2017, XBiotech has achieved some significant milestones with its lead product candidate and 514G3 programs. A Phase III symptomatic colorectal cancer study has been completed and XBiotech proceeded with the submission of a Marketing Authorization Application (MAA) to the European Medicines Agency (EMA) in March 2016. The Company recently announced that the EMA rendered a negative “trend vote” after an Oral Explanation meeting (“OE”) with the Company to discuss the remaining outstanding objections related to the Company’s MAA. A negative trend vote means it is unlikely that a positive Committee for Medicinal Products for Human Use (CHMP) opinion related to the Company’s MAA will be attained at the formal decision vote scheduled in May, and that additional steps would need to be taken to potentially gain marketing approval.</w:t>
      </w:r>
    </w:p>
    <w:p>
      <w:pPr>
        <w:spacing w:after="0" w:line="178" w:lineRule="exact"/>
        <w:rPr>
          <w:sz w:val="20"/>
          <w:szCs w:val="20"/>
          <w:color w:val="auto"/>
        </w:rPr>
      </w:pPr>
    </w:p>
    <w:p>
      <w:pPr>
        <w:ind w:right="60" w:firstLine="713"/>
        <w:spacing w:after="0" w:line="257" w:lineRule="auto"/>
        <w:rPr>
          <w:sz w:val="20"/>
          <w:szCs w:val="20"/>
          <w:color w:val="auto"/>
        </w:rPr>
      </w:pPr>
      <w:r>
        <w:rPr>
          <w:rFonts w:ascii="Arial" w:cs="Arial" w:eastAsia="Arial" w:hAnsi="Arial"/>
          <w:sz w:val="18"/>
          <w:szCs w:val="18"/>
          <w:color w:val="auto"/>
        </w:rPr>
        <w:t>XBiotech also completed enrollment in a second Phase III study, a double-blind placebo controlled study for improving survival in metastatic colorectal cancer. More than 600 patients were randomized in over twenty countries globally and the first interim analysis was successfully completed in February 2017. The second interim analysis is planned in mid June 2017. Furthermore, XBiotech successfully completed its global staphylococcus aureus (</w:t>
      </w:r>
      <w:r>
        <w:rPr>
          <w:rFonts w:ascii="Arial" w:cs="Arial" w:eastAsia="Arial" w:hAnsi="Arial"/>
          <w:sz w:val="18"/>
          <w:szCs w:val="18"/>
          <w:i w:val="1"/>
          <w:iCs w:val="1"/>
          <w:color w:val="auto"/>
        </w:rPr>
        <w:t>S.</w:t>
      </w:r>
      <w:r>
        <w:rPr>
          <w:rFonts w:ascii="Arial" w:cs="Arial" w:eastAsia="Arial" w:hAnsi="Arial"/>
          <w:sz w:val="18"/>
          <w:szCs w:val="18"/>
          <w:color w:val="auto"/>
        </w:rPr>
        <w:t xml:space="preserve"> </w:t>
      </w:r>
      <w:r>
        <w:rPr>
          <w:rFonts w:ascii="Arial" w:cs="Arial" w:eastAsia="Arial" w:hAnsi="Arial"/>
          <w:sz w:val="18"/>
          <w:szCs w:val="18"/>
          <w:i w:val="1"/>
          <w:iCs w:val="1"/>
          <w:color w:val="auto"/>
        </w:rPr>
        <w:t>aureus</w:t>
      </w:r>
      <w:r>
        <w:rPr>
          <w:rFonts w:ascii="Arial" w:cs="Arial" w:eastAsia="Arial" w:hAnsi="Arial"/>
          <w:sz w:val="18"/>
          <w:szCs w:val="18"/>
          <w:color w:val="auto"/>
        </w:rPr>
        <w:t>) bacteremia phase I/ II study with 514G3, a novel True Human™ therapeutic antibody for treating serious infections due to</w:t>
      </w:r>
      <w:r>
        <w:rPr>
          <w:rFonts w:ascii="Arial" w:cs="Arial" w:eastAsia="Arial" w:hAnsi="Arial"/>
          <w:sz w:val="18"/>
          <w:szCs w:val="18"/>
          <w:i w:val="1"/>
          <w:iCs w:val="1"/>
          <w:color w:val="auto"/>
        </w:rPr>
        <w:t xml:space="preserve"> S. aureus </w:t>
      </w:r>
      <w:r>
        <w:rPr>
          <w:rFonts w:ascii="Arial" w:cs="Arial" w:eastAsia="Arial" w:hAnsi="Arial"/>
          <w:sz w:val="18"/>
          <w:szCs w:val="18"/>
          <w:color w:val="auto"/>
        </w:rPr>
        <w:t>and announced</w:t>
      </w:r>
      <w:r>
        <w:rPr>
          <w:rFonts w:ascii="Arial" w:cs="Arial" w:eastAsia="Arial" w:hAnsi="Arial"/>
          <w:sz w:val="18"/>
          <w:szCs w:val="18"/>
          <w:i w:val="1"/>
          <w:iCs w:val="1"/>
          <w:color w:val="auto"/>
        </w:rPr>
        <w:t xml:space="preserve"> </w:t>
      </w:r>
      <w:r>
        <w:rPr>
          <w:rFonts w:ascii="Arial" w:cs="Arial" w:eastAsia="Arial" w:hAnsi="Arial"/>
          <w:sz w:val="18"/>
          <w:szCs w:val="18"/>
          <w:color w:val="auto"/>
        </w:rPr>
        <w:t>top-line results from the study in April.</w:t>
      </w:r>
    </w:p>
    <w:p>
      <w:pPr>
        <w:spacing w:after="0" w:line="188" w:lineRule="exact"/>
        <w:rPr>
          <w:sz w:val="20"/>
          <w:szCs w:val="20"/>
          <w:color w:val="auto"/>
        </w:rPr>
      </w:pPr>
    </w:p>
    <w:p>
      <w:pPr>
        <w:ind w:firstLine="713"/>
        <w:spacing w:after="0" w:line="264" w:lineRule="auto"/>
        <w:rPr>
          <w:sz w:val="20"/>
          <w:szCs w:val="20"/>
          <w:color w:val="auto"/>
        </w:rPr>
      </w:pPr>
      <w:r>
        <w:rPr>
          <w:rFonts w:ascii="Arial" w:cs="Arial" w:eastAsia="Arial" w:hAnsi="Arial"/>
          <w:sz w:val="18"/>
          <w:szCs w:val="18"/>
          <w:color w:val="auto"/>
        </w:rPr>
        <w:t>In August 2016, the Company completed construction of the new manufacturing facility located in Austin, Texas. The 40,000 square foot facility will provide a significant increase in the Company’s manufacturing and quality operations for production of the Company’s product pipeline. The new facility has increased about ten-fold the Company’s current production capacity.</w:t>
      </w:r>
    </w:p>
    <w:p>
      <w:pPr>
        <w:spacing w:after="0" w:line="181" w:lineRule="exact"/>
        <w:rPr>
          <w:sz w:val="20"/>
          <w:szCs w:val="20"/>
          <w:color w:val="auto"/>
        </w:rPr>
      </w:pPr>
    </w:p>
    <w:p>
      <w:pPr>
        <w:ind w:right="60" w:firstLine="713"/>
        <w:spacing w:after="0" w:line="270" w:lineRule="auto"/>
        <w:rPr>
          <w:sz w:val="20"/>
          <w:szCs w:val="20"/>
          <w:color w:val="auto"/>
        </w:rPr>
      </w:pPr>
      <w:r>
        <w:rPr>
          <w:rFonts w:ascii="Arial" w:cs="Arial" w:eastAsia="Arial" w:hAnsi="Arial"/>
          <w:sz w:val="17"/>
          <w:szCs w:val="17"/>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clinical trials, is expected to depend on the amount and timing of cash receipts from future collaboration or product sales and/or financing transactions. The Company believes that its cash and cash equivalents of $54.6 million at March 31, 2017 will enable the Company to achieve several major inflection points, including potential marketing authorization in Europe, completion of ongoing clinical studies in oncology and infectious disease, as well as launching its new manufacturing center. Based on our research and development plans and our timing expectations related to the progress of our programs, we expect that our cash and cash equivalents as of March 31, 2017 will enable us to fund our operating expenses and capital expenditure requirements through the end of 2018. We have based this estimate on assumptions that may prove to be wrong, and we could utilize our available capital resources sooner than we currently expect.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780" w:firstLine="713"/>
        <w:spacing w:after="0" w:line="277" w:lineRule="auto"/>
        <w:rPr>
          <w:sz w:val="20"/>
          <w:szCs w:val="20"/>
          <w:color w:val="auto"/>
        </w:rPr>
      </w:pPr>
      <w:r>
        <w:rPr>
          <w:rFonts w:ascii="Arial" w:cs="Arial" w:eastAsia="Arial" w:hAnsi="Arial"/>
          <w:sz w:val="18"/>
          <w:szCs w:val="18"/>
          <w:color w:val="auto"/>
        </w:rPr>
        <w:t>To date, we have not generated any revenue. Our ability to generate revenue and become profitable depends on our ability to successfully commercialize our lead product candidate, Xilonix™, or any other product candidate we may advance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firstLine="713"/>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187" w:lineRule="exact"/>
        <w:rPr>
          <w:sz w:val="20"/>
          <w:szCs w:val="20"/>
          <w:color w:val="auto"/>
        </w:rPr>
      </w:pPr>
    </w:p>
    <w:p>
      <w:pPr>
        <w:ind w:right="100" w:firstLine="713"/>
        <w:spacing w:after="0" w:line="272" w:lineRule="auto"/>
        <w:rPr>
          <w:sz w:val="20"/>
          <w:szCs w:val="20"/>
          <w:color w:val="auto"/>
        </w:rPr>
      </w:pPr>
      <w:r>
        <w:rPr>
          <w:rFonts w:ascii="Arial" w:cs="Arial" w:eastAsia="Arial" w:hAnsi="Arial"/>
          <w:sz w:val="17"/>
          <w:szCs w:val="17"/>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March 31, 2017, we have recorded total research and development expenses, including share-based compensation, of $151.8 million. Our total research and development expenses for the three months ended March 31, 2017 and 2016 were $8.2 million and $7.8 million, respectively. Share-based compensation accounted for $0.3 million and $0.6 million for the three months ended March 31, 2017 and 2016, respectively.</w:t>
      </w:r>
    </w:p>
    <w:p>
      <w:pPr>
        <w:spacing w:after="0" w:line="178" w:lineRule="exact"/>
        <w:rPr>
          <w:sz w:val="20"/>
          <w:szCs w:val="20"/>
          <w:color w:val="auto"/>
        </w:rPr>
      </w:pPr>
    </w:p>
    <w:p>
      <w:pPr>
        <w:ind w:right="240" w:firstLine="713"/>
        <w:spacing w:after="0" w:line="264" w:lineRule="auto"/>
        <w:rPr>
          <w:sz w:val="20"/>
          <w:szCs w:val="20"/>
          <w:color w:val="auto"/>
        </w:rPr>
      </w:pPr>
      <w:r>
        <w:rPr>
          <w:rFonts w:ascii="Arial" w:cs="Arial" w:eastAsia="Arial" w:hAnsi="Arial"/>
          <w:sz w:val="18"/>
          <w:szCs w:val="18"/>
          <w:color w:val="auto"/>
        </w:rPr>
        <w:t xml:space="preserve">Research and development expenses, as a percentage of total operating expenses for the three months ended March 31, 2017 and 2016 were 80% and 76%, respectively. The percentages,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stock-based compensation, for the three months ended March 31, 2017 and 2016, were 83% and 86%, respectively.</w:t>
      </w:r>
    </w:p>
    <w:p>
      <w:pPr>
        <w:spacing w:after="0" w:line="181" w:lineRule="exact"/>
        <w:rPr>
          <w:sz w:val="20"/>
          <w:szCs w:val="20"/>
          <w:color w:val="auto"/>
        </w:rPr>
      </w:pPr>
    </w:p>
    <w:p>
      <w:pPr>
        <w:ind w:right="400" w:firstLine="713"/>
        <w:spacing w:after="0" w:line="308" w:lineRule="auto"/>
        <w:rPr>
          <w:sz w:val="20"/>
          <w:szCs w:val="20"/>
          <w:color w:val="auto"/>
        </w:rPr>
      </w:pPr>
      <w:r>
        <w:rPr>
          <w:rFonts w:ascii="Arial" w:cs="Arial" w:eastAsia="Arial" w:hAnsi="Arial"/>
          <w:sz w:val="17"/>
          <w:szCs w:val="17"/>
          <w:color w:val="auto"/>
        </w:rPr>
        <w:t>As planned, our clinical development costs increased as we advanced our lead product candidate as an anti-cancer therapy for treating last-line metastatic colorectal cancer (mCRC), under a regulatory pathway through global phase III clinical trials under EMA and FDA jurisdictions.</w:t>
      </w:r>
    </w:p>
    <w:p>
      <w:pPr>
        <w:spacing w:after="0" w:line="147" w:lineRule="exact"/>
        <w:rPr>
          <w:sz w:val="20"/>
          <w:szCs w:val="20"/>
          <w:color w:val="auto"/>
        </w:rPr>
      </w:pPr>
    </w:p>
    <w:p>
      <w:pPr>
        <w:ind w:right="100" w:firstLine="713"/>
        <w:spacing w:after="0" w:line="312" w:lineRule="auto"/>
        <w:rPr>
          <w:sz w:val="20"/>
          <w:szCs w:val="20"/>
          <w:color w:val="auto"/>
        </w:rPr>
      </w:pPr>
      <w:r>
        <w:rPr>
          <w:rFonts w:ascii="Arial" w:cs="Arial" w:eastAsia="Arial" w:hAnsi="Arial"/>
          <w:sz w:val="16"/>
          <w:szCs w:val="16"/>
          <w:color w:val="auto"/>
        </w:rPr>
        <w:t xml:space="preserve">The clinical research and development costs may decrease going forward with the completion of the Phase I/II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Bacteremia study and as we enter the maintenance phase of the FDA pivotal phase III mCRC trial. Although, expenses could increase due to potential marketing approval of our lead product candidate in Europe and related commercialization costs, as well as, the potential of pursuing advanced clinical studies in various indications.</w:t>
      </w:r>
    </w:p>
    <w:p>
      <w:pPr>
        <w:spacing w:after="0" w:line="147" w:lineRule="exact"/>
        <w:rPr>
          <w:sz w:val="20"/>
          <w:szCs w:val="20"/>
          <w:color w:val="auto"/>
        </w:rPr>
      </w:pPr>
    </w:p>
    <w:p>
      <w:pPr>
        <w:ind w:right="60" w:firstLine="713"/>
        <w:spacing w:after="0" w:line="286" w:lineRule="auto"/>
        <w:rPr>
          <w:sz w:val="20"/>
          <w:szCs w:val="20"/>
          <w:color w:val="auto"/>
        </w:rPr>
      </w:pPr>
      <w:r>
        <w:rPr>
          <w:rFonts w:ascii="Arial" w:cs="Arial" w:eastAsia="Arial" w:hAnsi="Arial"/>
          <w:sz w:val="17"/>
          <w:szCs w:val="17"/>
          <w:color w:val="auto"/>
        </w:rPr>
        <w:t>Based on the results of our preclinical studies, we anticipate that 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firstLine="713"/>
        <w:spacing w:after="0" w:line="257" w:lineRule="auto"/>
        <w:rPr>
          <w:sz w:val="20"/>
          <w:szCs w:val="20"/>
          <w:color w:val="auto"/>
        </w:rPr>
      </w:pPr>
      <w:r>
        <w:rPr>
          <w:rFonts w:ascii="Arial" w:cs="Arial" w:eastAsia="Arial" w:hAnsi="Arial"/>
          <w:sz w:val="18"/>
          <w:szCs w:val="18"/>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and professional fees for legal services. Our total general and administration expenses for the three months ended March 31, 2017 and 2016 were $2.1 million and $2.4 million, respectively. Share-based compensation accounted for $0.4 million and $1.2 million for the three months ended March 31, 2017 and 2016,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7" w:name="page18"/>
    <w:bookmarkEnd w:id="17"/>
    <w:p>
      <w:pPr>
        <w:ind w:firstLine="713"/>
        <w:spacing w:after="0" w:line="264" w:lineRule="auto"/>
        <w:rPr>
          <w:sz w:val="20"/>
          <w:szCs w:val="20"/>
          <w:color w:val="auto"/>
        </w:rPr>
      </w:pPr>
      <w:r>
        <w:rPr>
          <w:rFonts w:ascii="Arial" w:cs="Arial" w:eastAsia="Arial" w:hAnsi="Arial"/>
          <w:sz w:val="18"/>
          <w:szCs w:val="18"/>
          <w:color w:val="auto"/>
        </w:rPr>
        <w:t>General and administrative expense, as a percentage of total operating expenses for the three months ended March 31, 2017 and 2016 were 20% and 24%, respectively. The percentages, excluding stock-based compensation, for the three months ended March 31, 2017 and 2016, were 17% and 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713"/>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us to make judgments, estimates and assumptions in the preparation of our consolidated financial statements and accompanying notes. Actual results could differ from those estimates. We believe there have been no significant changes in our critical accounting policies as discussed in our Annual Report on Form 10-K for the year ended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did not record any revenue during the three months ended March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3"/>
              </w:rPr>
              <w:t>Three Months Ended March 31,</w:t>
            </w:r>
          </w:p>
        </w:tc>
        <w:tc>
          <w:tcPr>
            <w:tcW w:w="280" w:type="dxa"/>
            <w:vAlign w:val="bottom"/>
          </w:tcPr>
          <w:p>
            <w:pPr>
              <w:spacing w:after="0"/>
              <w:rPr>
                <w:sz w:val="19"/>
                <w:szCs w:val="19"/>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Increase</w:t>
            </w: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5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5"/>
              </w:rPr>
              <w:t>(Decrease)</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355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1,232</w:t>
            </w: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776</w:t>
            </w:r>
          </w:p>
        </w:tc>
        <w:tc>
          <w:tcPr>
            <w:tcW w:w="28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456</w:t>
            </w:r>
          </w:p>
        </w:tc>
        <w:tc>
          <w:tcPr>
            <w:tcW w:w="1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3,155</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3,656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597</w:t>
            </w:r>
          </w:p>
        </w:tc>
        <w:tc>
          <w:tcPr>
            <w:tcW w:w="2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(303)</w:t>
            </w: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1,294</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925</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369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4"/>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8,188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376</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87" w:lineRule="exact"/>
        <w:rPr>
          <w:sz w:val="20"/>
          <w:szCs w:val="20"/>
          <w:color w:val="auto"/>
        </w:rPr>
      </w:pPr>
    </w:p>
    <w:p>
      <w:pPr>
        <w:ind w:right="140" w:firstLine="713"/>
        <w:spacing w:after="0" w:line="312"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47" w:lineRule="exact"/>
        <w:rPr>
          <w:sz w:val="20"/>
          <w:szCs w:val="20"/>
          <w:color w:val="auto"/>
        </w:rPr>
      </w:pPr>
    </w:p>
    <w:p>
      <w:pPr>
        <w:ind w:firstLine="713"/>
        <w:spacing w:after="0" w:line="255" w:lineRule="auto"/>
        <w:rPr>
          <w:sz w:val="20"/>
          <w:szCs w:val="20"/>
          <w:color w:val="auto"/>
        </w:rPr>
      </w:pPr>
      <w:r>
        <w:rPr>
          <w:rFonts w:ascii="Arial" w:cs="Arial" w:eastAsia="Arial" w:hAnsi="Arial"/>
          <w:sz w:val="18"/>
          <w:szCs w:val="18"/>
          <w:color w:val="auto"/>
        </w:rPr>
        <w:t>Research and development expenses increased by $0.4 million to $8.2 million for the three months ended March 31, 2017, compared to $7.8 million for the three months ended March 31, 2016. There was a decrease in clinical trials and sponsored research due to the clinical trial expense accrual. A continued increase in laboratory and manufacturing supplies expense occurred due to the increase of manufacturing processing development activities, research activities, quality control activities and the validation of equipment in the new manufacturing facility. Labor costs also increased due to the growing size of the research and development workforce from 75 to 93. We also incurred $276 thousand increase in facility expense due to the facility expense incurred in the new manufacturing building.</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General and administrative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8"/>
              </w:rPr>
              <w:t>Three Months Ended March 31,</w:t>
            </w:r>
          </w:p>
        </w:tc>
        <w:tc>
          <w:tcPr>
            <w:tcW w:w="280" w:type="dxa"/>
            <w:vAlign w:val="bottom"/>
          </w:tcPr>
          <w:p>
            <w:pPr>
              <w:spacing w:after="0"/>
              <w:rPr>
                <w:sz w:val="19"/>
                <w:szCs w:val="19"/>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Increase</w:t>
            </w: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384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5"/>
              </w:rPr>
              <w:t>(Decrease)</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Patent filing expense</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40</w:t>
            </w: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Professional fees</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415</w:t>
            </w: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323</w:t>
            </w:r>
          </w:p>
        </w:tc>
        <w:tc>
          <w:tcPr>
            <w:tcW w:w="138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583</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131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2,083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2,436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(353)</w:t>
            </w: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634"/>
        </w:trPr>
        <w:tc>
          <w:tcPr>
            <w:tcW w:w="3840" w:type="dxa"/>
            <w:vAlign w:val="bottom"/>
          </w:tcPr>
          <w:p>
            <w:pPr>
              <w:spacing w:after="0"/>
              <w:rPr>
                <w:sz w:val="24"/>
                <w:szCs w:val="24"/>
                <w:color w:val="auto"/>
              </w:rPr>
            </w:pPr>
          </w:p>
        </w:tc>
        <w:tc>
          <w:tcPr>
            <w:tcW w:w="2100" w:type="dxa"/>
            <w:vAlign w:val="bottom"/>
            <w:gridSpan w:val="2"/>
          </w:tcPr>
          <w:p>
            <w:pPr>
              <w:jc w:val="right"/>
              <w:ind w:right="50"/>
              <w:spacing w:after="0"/>
              <w:rPr>
                <w:sz w:val="20"/>
                <w:szCs w:val="20"/>
                <w:color w:val="auto"/>
              </w:rPr>
            </w:pPr>
            <w:r>
              <w:rPr>
                <w:rFonts w:ascii="Arial" w:cs="Arial" w:eastAsia="Arial" w:hAnsi="Arial"/>
                <w:sz w:val="18"/>
                <w:szCs w:val="18"/>
                <w:color w:val="auto"/>
              </w:rPr>
              <w:t>18</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8"/>
        </w:trPr>
        <w:tc>
          <w:tcPr>
            <w:tcW w:w="3840" w:type="dxa"/>
            <w:vAlign w:val="bottom"/>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92" w:right="239" w:bottom="1440" w:gutter="0" w:footer="0" w:header="0"/>
        </w:sectPr>
      </w:pPr>
    </w:p>
    <w:bookmarkStart w:id="18" w:name="page19"/>
    <w:bookmarkEnd w:id="18"/>
    <w:p>
      <w:pPr>
        <w:ind w:firstLine="713"/>
        <w:spacing w:after="0" w:line="279" w:lineRule="auto"/>
        <w:rPr>
          <w:sz w:val="20"/>
          <w:szCs w:val="20"/>
          <w:color w:val="auto"/>
        </w:rPr>
      </w:pPr>
      <w:r>
        <w:rPr>
          <w:rFonts w:ascii="Arial" w:cs="Arial" w:eastAsia="Arial" w:hAnsi="Arial"/>
          <w:sz w:val="17"/>
          <w:szCs w:val="17"/>
          <w:color w:val="auto"/>
        </w:rPr>
        <w:t>General and administrative expense decreased $0.3 million to $2.1 million for the three months ended March 31, 2017, compared to $2.4 million for the three months ended March 31, 2016. The decrease was primarily related to stock–based compensation expenses of $0.8 million, due to the grant of stock options to board members in 2016 Q1 that were immediately vested. The increase in professional fees was attributable to the commercialization activities in Europe and increased corporate legal fee. Other reasons for increases included insurance and facility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(loss)</w:t>
            </w: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7100" w:type="dxa"/>
            <w:vAlign w:val="bottom"/>
          </w:tcPr>
          <w:p>
            <w:pPr>
              <w:ind w:left="720"/>
              <w:spacing w:after="0"/>
              <w:rPr>
                <w:sz w:val="20"/>
                <w:szCs w:val="20"/>
                <w:color w:val="auto"/>
              </w:rPr>
            </w:pPr>
            <w:r>
              <w:rPr>
                <w:rFonts w:ascii="Arial" w:cs="Arial" w:eastAsia="Arial" w:hAnsi="Arial"/>
                <w:sz w:val="18"/>
                <w:szCs w:val="18"/>
                <w:color w:val="auto"/>
              </w:rPr>
              <w:t>The following table summarizes other income (loss) (in thousands):</w:t>
            </w: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27"/>
        </w:trPr>
        <w:tc>
          <w:tcPr>
            <w:tcW w:w="7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34"/>
        </w:trPr>
        <w:tc>
          <w:tcPr>
            <w:tcW w:w="7100" w:type="dxa"/>
            <w:vAlign w:val="bottom"/>
          </w:tcPr>
          <w:p>
            <w:pPr>
              <w:spacing w:after="0"/>
              <w:rPr>
                <w:sz w:val="20"/>
                <w:szCs w:val="20"/>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Foreign exchange loss</w:t>
            </w:r>
          </w:p>
        </w:tc>
        <w:tc>
          <w:tcPr>
            <w:tcW w:w="23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9"/>
              </w:rPr>
              <w:t>(341)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(292)</w:t>
            </w:r>
          </w:p>
        </w:tc>
        <w:tc>
          <w:tcPr>
            <w:tcW w:w="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713"/>
        <w:spacing w:after="0" w:line="277" w:lineRule="auto"/>
        <w:rPr>
          <w:sz w:val="20"/>
          <w:szCs w:val="20"/>
          <w:color w:val="auto"/>
        </w:rPr>
      </w:pPr>
      <w:r>
        <w:rPr>
          <w:rFonts w:ascii="Arial" w:cs="Arial" w:eastAsia="Arial" w:hAnsi="Arial"/>
          <w:sz w:val="18"/>
          <w:szCs w:val="18"/>
          <w:color w:val="auto"/>
        </w:rPr>
        <w:t>The $49 thousand of interest income for the three months ended March 31, 2017 is mainly from the interest generated from our Canadian bank account. Foreign exchange loss was mainly due to the fluctuation of the exchange rate between Euro and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60" w:firstLine="713"/>
        <w:spacing w:after="0" w:line="27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70" w:lineRule="exact"/>
        <w:rPr>
          <w:sz w:val="20"/>
          <w:szCs w:val="20"/>
          <w:color w:val="auto"/>
        </w:rPr>
      </w:pPr>
    </w:p>
    <w:p>
      <w:pPr>
        <w:ind w:right="60" w:firstLine="713"/>
        <w:spacing w:after="0" w:line="264" w:lineRule="auto"/>
        <w:rPr>
          <w:sz w:val="20"/>
          <w:szCs w:val="20"/>
          <w:color w:val="auto"/>
        </w:rPr>
      </w:pPr>
      <w:r>
        <w:rPr>
          <w:rFonts w:ascii="Arial" w:cs="Arial" w:eastAsia="Arial" w:hAnsi="Arial"/>
          <w:sz w:val="18"/>
          <w:szCs w:val="18"/>
          <w:color w:val="auto"/>
        </w:rPr>
        <w:t>Since our inception on March 22, 2005 through March 31, 2017, we have funded our operations principally through the private placement of equity securities, which have provided aggregate cash proceeds of approximately $256.6 million. The following table summarizes our sources and uses of cash (in thousands):</w:t>
      </w:r>
    </w:p>
    <w:p>
      <w:pPr>
        <w:sectPr>
          <w:pgSz w:w="11900" w:h="16838" w:orient="portrait"/>
          <w:cols w:equalWidth="0" w:num="1">
            <w:col w:w="11420"/>
          </w:cols>
          <w:pgMar w:left="240" w:top="692" w:right="239" w:bottom="144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provided 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3500"/>
        <w:spacing w:after="0" w:line="276" w:lineRule="auto"/>
        <w:rPr>
          <w:sz w:val="20"/>
          <w:szCs w:val="20"/>
          <w:color w:val="auto"/>
        </w:rPr>
      </w:pPr>
      <w:r>
        <w:rPr>
          <w:rFonts w:ascii="Arial" w:cs="Arial" w:eastAsia="Arial" w:hAnsi="Arial"/>
          <w:sz w:val="18"/>
          <w:szCs w:val="18"/>
          <w:color w:val="auto"/>
        </w:rPr>
        <w:t>Effect of foreign exchange rate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195"/>
        </w:trPr>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(11,908)</w:t>
            </w:r>
          </w:p>
        </w:tc>
        <w:tc>
          <w:tcPr>
            <w:tcW w:w="3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(9,947)</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(607)</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(2,917)</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32,713</w:t>
            </w:r>
          </w:p>
        </w:tc>
        <w:tc>
          <w:tcPr>
            <w:tcW w:w="3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20,308</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(12,826)</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692"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9" w:name="page20"/>
    <w:bookmarkEnd w:id="19"/>
    <w:p>
      <w:pPr>
        <w:ind w:right="60" w:firstLine="713"/>
        <w:spacing w:after="0" w:line="259" w:lineRule="auto"/>
        <w:rPr>
          <w:sz w:val="20"/>
          <w:szCs w:val="20"/>
          <w:color w:val="auto"/>
        </w:rPr>
      </w:pPr>
      <w:r>
        <w:rPr>
          <w:rFonts w:ascii="Arial" w:cs="Arial" w:eastAsia="Arial" w:hAnsi="Arial"/>
          <w:sz w:val="18"/>
          <w:szCs w:val="18"/>
          <w:color w:val="auto"/>
        </w:rPr>
        <w:t>During the three months ended March 31, 2017 and 2016, our operating activities used net cash of $11.9 million and $9.9 million, respectively. The use of net cash in each of these periods primarily resulted from our net losses. The increase in net loss from operations for the three months ended March 31, 2017 as compared to the three months ended March 31, 2016 was mainly due to increases in laboratory and manufacturing supplies, research and development labor and facility expense.</w:t>
      </w:r>
    </w:p>
    <w:p>
      <w:pPr>
        <w:spacing w:after="0" w:line="187" w:lineRule="exact"/>
        <w:rPr>
          <w:sz w:val="20"/>
          <w:szCs w:val="20"/>
          <w:color w:val="auto"/>
        </w:rPr>
      </w:pPr>
    </w:p>
    <w:p>
      <w:pPr>
        <w:jc w:val="both"/>
        <w:ind w:right="160" w:firstLine="713"/>
        <w:spacing w:after="0" w:line="264" w:lineRule="auto"/>
        <w:rPr>
          <w:sz w:val="20"/>
          <w:szCs w:val="20"/>
          <w:color w:val="auto"/>
        </w:rPr>
      </w:pPr>
      <w:r>
        <w:rPr>
          <w:rFonts w:ascii="Arial" w:cs="Arial" w:eastAsia="Arial" w:hAnsi="Arial"/>
          <w:sz w:val="18"/>
          <w:szCs w:val="18"/>
          <w:color w:val="auto"/>
        </w:rPr>
        <w:t>During the three months ended March 31, 2017 and 2016, our investing activities used net cash of $0.6 million and $2.9 million, respectively. The use of cash during the three months ended March 31, 2017 was for the purchase of new research and development equipment. We spent approximately $2.6 million on the construction of new facilities during the three months ended March 31, 2016.</w:t>
      </w:r>
    </w:p>
    <w:p>
      <w:pPr>
        <w:spacing w:after="0" w:line="181" w:lineRule="exact"/>
        <w:rPr>
          <w:sz w:val="20"/>
          <w:szCs w:val="20"/>
          <w:color w:val="auto"/>
        </w:rPr>
      </w:pPr>
    </w:p>
    <w:p>
      <w:pPr>
        <w:ind w:right="160" w:firstLine="713"/>
        <w:spacing w:after="0" w:line="276" w:lineRule="auto"/>
        <w:rPr>
          <w:sz w:val="20"/>
          <w:szCs w:val="20"/>
          <w:color w:val="auto"/>
        </w:rPr>
      </w:pPr>
      <w:r>
        <w:rPr>
          <w:rFonts w:ascii="Arial" w:cs="Arial" w:eastAsia="Arial" w:hAnsi="Arial"/>
          <w:sz w:val="17"/>
          <w:szCs w:val="17"/>
          <w:color w:val="auto"/>
        </w:rPr>
        <w:t>During the three months ended March 31, 2017, our financing activities provided net cash proceeds of $32.7 million and no cash was provided in the three months ended March 31, 2016. During the three months ended March 31, 2017, we entered into subscription agreements with accredited investors, and sold 2.4 million common shares at $13 per share for approximately $31.6 million in net proceeds. Also, we sold 87 thousand shares under a Common Stock Sales Agreement with H.C. Wainwright &amp; Co. LLC for net proceeds of approximately $1.0 million. Employees exercised stock options to purchase a total of 66 thousand shares of common stock for a total of approximately $0.3 million in net proceeds.</w:t>
      </w:r>
    </w:p>
    <w:p>
      <w:pPr>
        <w:spacing w:after="0" w:line="173" w:lineRule="exact"/>
        <w:rPr>
          <w:sz w:val="20"/>
          <w:szCs w:val="20"/>
          <w:color w:val="auto"/>
        </w:rPr>
      </w:pPr>
    </w:p>
    <w:p>
      <w:pPr>
        <w:ind w:right="60" w:firstLine="713"/>
        <w:spacing w:after="0" w:line="286" w:lineRule="auto"/>
        <w:rPr>
          <w:sz w:val="20"/>
          <w:szCs w:val="20"/>
          <w:color w:val="auto"/>
        </w:rPr>
      </w:pPr>
      <w:r>
        <w:rPr>
          <w:rFonts w:ascii="Arial" w:cs="Arial" w:eastAsia="Arial" w:hAnsi="Arial"/>
          <w:sz w:val="17"/>
          <w:szCs w:val="17"/>
          <w:color w:val="auto"/>
        </w:rPr>
        <w:t>We expect to continue to incur substantial operating losses in the future. We will not receive any product revenue until a drug candidate has been approved by the Food and Drug Administration or similar regulatory agencies in other countries and successfully commercialized. As of March 31, 2017, our principal sources of liquidity were our cash and cash equivalents, which totaled approximately $54.6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240" w:firstLine="713"/>
        <w:spacing w:after="0" w:line="259" w:lineRule="auto"/>
        <w:rPr>
          <w:sz w:val="20"/>
          <w:szCs w:val="20"/>
          <w:color w:val="auto"/>
        </w:rPr>
      </w:pPr>
      <w:r>
        <w:rPr>
          <w:rFonts w:ascii="Arial" w:cs="Arial" w:eastAsia="Arial" w:hAnsi="Arial"/>
          <w:sz w:val="18"/>
          <w:szCs w:val="18"/>
          <w:color w:val="auto"/>
        </w:rPr>
        <w:t>On January 12, 2008, we entered a lease agreement to lease our facility in Austin, Texas. On September 15, 2010, we entered into a second lease agreement to lease additional space in Austin, Texas. On March 20, 2014, we extended the lease for an additional 21 months on the same terms and rental rates as the current lease. On February 28, 2016, we extended the lease for another 4 years. The future minimum lease payments are as follows as of March 31, 2017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Less than</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More than 3</w:t>
            </w:r>
          </w:p>
        </w:tc>
      </w:tr>
      <w:tr>
        <w:trPr>
          <w:trHeight w:val="234"/>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 Year</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1 - 3 Years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years</w:t>
            </w:r>
          </w:p>
        </w:tc>
      </w:tr>
      <w:tr>
        <w:trPr>
          <w:trHeight w:val="22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facility leases</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896</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896</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Rent expense was $186 thousand and $179 thousand for the three months ended March 31, 2017 and 2016,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 w:firstLine="713"/>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of Market Risks</w:t>
      </w:r>
    </w:p>
    <w:p>
      <w:pPr>
        <w:spacing w:after="0" w:line="337" w:lineRule="exact"/>
        <w:rPr>
          <w:sz w:val="20"/>
          <w:szCs w:val="20"/>
          <w:color w:val="auto"/>
        </w:rPr>
      </w:pPr>
    </w:p>
    <w:p>
      <w:pPr>
        <w:ind w:right="140" w:firstLine="713"/>
        <w:spacing w:after="0" w:line="264"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29" w:lineRule="exact"/>
        <w:rPr>
          <w:sz w:val="20"/>
          <w:szCs w:val="20"/>
          <w:color w:val="auto"/>
        </w:rPr>
      </w:pPr>
    </w:p>
    <w:p>
      <w:pPr>
        <w:ind w:firstLine="713"/>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713"/>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first quarter of the year ended December 31, 2017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right="120" w:firstLine="713"/>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88" w:right="319" w:bottom="1440" w:gutter="0" w:footer="0" w:header="0"/>
        </w:sectPr>
      </w:pPr>
    </w:p>
    <w:bookmarkStart w:id="21" w:name="page22"/>
    <w:bookmarkEnd w:id="21"/>
    <w:p>
      <w:pPr>
        <w:ind w:left="45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337" w:lineRule="exact"/>
        <w:rPr>
          <w:sz w:val="20"/>
          <w:szCs w:val="20"/>
          <w:color w:val="auto"/>
        </w:rPr>
      </w:pPr>
    </w:p>
    <w:p>
      <w:pPr>
        <w:ind w:right="40" w:firstLine="713"/>
        <w:spacing w:after="0" w:line="269" w:lineRule="auto"/>
        <w:rPr>
          <w:sz w:val="20"/>
          <w:szCs w:val="20"/>
          <w:color w:val="auto"/>
        </w:rPr>
      </w:pPr>
      <w:r>
        <w:rPr>
          <w:rFonts w:ascii="Arial" w:cs="Arial" w:eastAsia="Arial" w:hAnsi="Arial"/>
          <w:sz w:val="17"/>
          <w:szCs w:val="17"/>
          <w:color w:val="auto"/>
        </w:rPr>
        <w:t>On December 1, 2015, a purported securities class action complaint captioned Yogina Rezko v. XBiotech Inc., John Simard, Queena Han and WR Hambrecht &amp; Co., LLC was filed against us, certain of our officers and directors and the underwriter for our initial public offering in the Superior Court for the State of California, Los Angeles County. On December 2, 2015, a purported securities class action complaint captioned Linh Tran v. XBiotech Inc., John Simard and Queena Han was filed against us and certain of our officers and directors in U.S. District Court for the Western District of Texas. The lawsuits are based on substantially similar factual allegations and purport to be class actions brought on behalf of purchasers of the Company's securities during the period from April 15, 2015 through November 23, 2015. The complaint filed in California state court alleges that the defendants violated the Securities Act of 1933, as amended (the "Securities Act"), and the complaint filed in federal court alleges that the defendants violated the Securities Exchange Act of 1934, as amended (the "Exchange Act"), in each case by making materially false and misleading statements concerning the Company's Phase III clinical trial conducted in Europe to assess Xilonix™ as a treatment for colorectal cancer. The California complaint purports to assert claims for violations of Sections 11, 12(a)(2) and 15 of the Securities Act, and the federal complaint purports to assert claims for violation of Sections 10(b) and 20(a) of the Exchange Act and Rule 10b-5 promulgated thereunder. Both complaints seek, on behalf of the purported class, an unspecified amount of monetary damages, interest, fees and expenses of attorneys and experts, and other relief.</w:t>
      </w:r>
    </w:p>
    <w:p>
      <w:pPr>
        <w:spacing w:after="0" w:line="180" w:lineRule="exact"/>
        <w:rPr>
          <w:sz w:val="20"/>
          <w:szCs w:val="20"/>
          <w:color w:val="auto"/>
        </w:rPr>
      </w:pPr>
    </w:p>
    <w:p>
      <w:pPr>
        <w:ind w:firstLine="713"/>
        <w:spacing w:after="0" w:line="273" w:lineRule="auto"/>
        <w:rPr>
          <w:sz w:val="20"/>
          <w:szCs w:val="20"/>
          <w:color w:val="auto"/>
        </w:rPr>
      </w:pPr>
      <w:r>
        <w:rPr>
          <w:rFonts w:ascii="Arial" w:cs="Arial" w:eastAsia="Arial" w:hAnsi="Arial"/>
          <w:sz w:val="17"/>
          <w:szCs w:val="17"/>
          <w:color w:val="auto"/>
        </w:rPr>
        <w:t>In September 2016, a stay was granted at the Superior Court for the State of California, Los Angeles County, in Yogina Rezko v. XBiotech Inc., John Simard, Queena Han and WR Hambrecht &amp; Co., LLC, in light of the ongoing case, Linh Tran v. XBiotech Inc., John Simard and Queena Han, in the U.S. District Court for the Western District of Texas, leaving plaintiffs with an opportunity re-file a complaint in Texas. In October 2016, the Texas securities class action lawsuit was dismissed with prejudice. The California plaintiffs did not re-file a complaint in Texas, and thus XBiotech continues to defend against this securities class action lawsuit. A hearing date has been rescheduled for June 7, 2017, has been set at the Superior Court for the State of California, Los Angeles County. We are unable to estimate the outcome of the California matter or the resulting financial impact to us, if any.</w:t>
      </w:r>
    </w:p>
    <w:p>
      <w:pPr>
        <w:sectPr>
          <w:pgSz w:w="11900" w:h="16838" w:orient="portrait"/>
          <w:cols w:equalWidth="0" w:num="1">
            <w:col w:w="11420"/>
          </w:cols>
          <w:pgMar w:left="240" w:top="688" w:right="239" w:bottom="1440" w:gutter="0" w:footer="0" w:header="0"/>
        </w:sectPr>
      </w:pPr>
    </w:p>
    <w:p>
      <w:pPr>
        <w:spacing w:after="0" w:line="174"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537" w:lineRule="exact"/>
        <w:rPr>
          <w:sz w:val="20"/>
          <w:szCs w:val="20"/>
          <w:color w:val="auto"/>
        </w:rPr>
      </w:pPr>
    </w:p>
    <w:p>
      <w:pPr>
        <w:sectPr>
          <w:pgSz w:w="11900" w:h="16838" w:orient="portrait"/>
          <w:cols w:equalWidth="0" w:num="2">
            <w:col w:w="360" w:space="360"/>
            <w:col w:w="10700"/>
          </w:cols>
          <w:pgMar w:left="240" w:top="688" w:right="239" w:bottom="1440" w:gutter="0" w:footer="0" w:header="0"/>
          <w:type w:val="continuous"/>
        </w:sectPr>
      </w:pPr>
    </w:p>
    <w:p>
      <w:pPr>
        <w:spacing w:after="0" w:line="50" w:lineRule="exact"/>
        <w:rPr>
          <w:sz w:val="20"/>
          <w:szCs w:val="20"/>
          <w:color w:val="auto"/>
        </w:rPr>
      </w:pPr>
    </w:p>
    <w:p>
      <w:pPr>
        <w:ind w:right="40" w:firstLine="713"/>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December 31, 2016. Please carefully consider the information set forth in this Quarterly Report on Form 10-Q and the risk factors discussed in Part I, “Item 1A. Risk Factors” in our Annual Report on Form 10-K for the year ended December 31, 2016,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33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337"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33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22" w:name="page23"/>
    <w:bookmarkEnd w:id="22"/>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337" w:lineRule="exact"/>
        <w:rPr>
          <w:sz w:val="20"/>
          <w:szCs w:val="20"/>
          <w:color w:val="auto"/>
        </w:rPr>
      </w:pPr>
    </w:p>
    <w:p>
      <w:pPr>
        <w:ind w:firstLine="713"/>
        <w:spacing w:after="0" w:line="277" w:lineRule="auto"/>
        <w:rPr>
          <w:sz w:val="20"/>
          <w:szCs w:val="20"/>
          <w:color w:val="auto"/>
        </w:rPr>
      </w:pPr>
      <w:r>
        <w:rPr>
          <w:rFonts w:ascii="Arial" w:cs="Arial" w:eastAsia="Arial" w:hAnsi="Arial"/>
          <w:sz w:val="18"/>
          <w:szCs w:val="18"/>
          <w:color w:val="auto"/>
        </w:rPr>
        <w:t>On May 5th, the Company’s Senior Vice President of Operation Kelly Thornburg announced his resignation from his position at XBiotech which was effective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80"/>
          </w:cols>
          <w:pgMar w:left="240" w:top="688" w:right="4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Item 6.</w:t>
            </w:r>
          </w:p>
        </w:tc>
        <w:tc>
          <w:tcPr>
            <w:tcW w:w="1058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526"/>
        </w:trPr>
        <w:tc>
          <w:tcPr>
            <w:tcW w:w="700" w:type="dxa"/>
            <w:vAlign w:val="bottom"/>
          </w:tcPr>
          <w:p>
            <w:pPr>
              <w:jc w:val="right"/>
              <w:spacing w:after="0"/>
              <w:rPr>
                <w:sz w:val="20"/>
                <w:szCs w:val="20"/>
                <w:color w:val="auto"/>
              </w:rPr>
            </w:pPr>
            <w:r>
              <w:rPr>
                <w:rFonts w:ascii="Arial" w:cs="Arial" w:eastAsia="Arial" w:hAnsi="Arial"/>
                <w:sz w:val="18"/>
                <w:szCs w:val="18"/>
                <w:color w:val="auto"/>
              </w:rPr>
              <w:t>31.1</w:t>
            </w:r>
          </w:p>
        </w:tc>
        <w:tc>
          <w:tcPr>
            <w:tcW w:w="10580" w:type="dxa"/>
            <w:vAlign w:val="bottom"/>
          </w:tcPr>
          <w:p>
            <w:pPr>
              <w:ind w:left="860"/>
              <w:spacing w:after="0"/>
              <w:rPr>
                <w:sz w:val="20"/>
                <w:szCs w:val="20"/>
                <w:color w:val="auto"/>
              </w:rPr>
            </w:pPr>
            <w:r>
              <w:rPr>
                <w:rFonts w:ascii="Arial" w:cs="Arial" w:eastAsia="Arial" w:hAnsi="Arial"/>
                <w:sz w:val="18"/>
                <w:szCs w:val="18"/>
                <w:color w:val="auto"/>
                <w:w w:val="92"/>
              </w:rPr>
              <w:t>Certification of Principal Executive Officer Required Under Rule 13a-14(a) and 15d-14(a) of the Securities Exchange Act of 1934, as</w:t>
            </w:r>
          </w:p>
        </w:tc>
      </w:tr>
      <w:tr>
        <w:trPr>
          <w:trHeight w:val="230"/>
        </w:trPr>
        <w:tc>
          <w:tcPr>
            <w:tcW w:w="700" w:type="dxa"/>
            <w:vAlign w:val="bottom"/>
          </w:tcPr>
          <w:p>
            <w:pPr>
              <w:spacing w:after="0"/>
              <w:rPr>
                <w:sz w:val="20"/>
                <w:szCs w:val="20"/>
                <w:color w:val="auto"/>
              </w:rPr>
            </w:pPr>
          </w:p>
        </w:tc>
        <w:tc>
          <w:tcPr>
            <w:tcW w:w="10580" w:type="dxa"/>
            <w:vAlign w:val="bottom"/>
          </w:tcPr>
          <w:p>
            <w:pPr>
              <w:ind w:left="680"/>
              <w:spacing w:after="0"/>
              <w:rPr>
                <w:sz w:val="20"/>
                <w:szCs w:val="20"/>
                <w:color w:val="auto"/>
              </w:rPr>
            </w:pPr>
            <w:r>
              <w:rPr>
                <w:rFonts w:ascii="Arial" w:cs="Arial" w:eastAsia="Arial" w:hAnsi="Arial"/>
                <w:sz w:val="18"/>
                <w:szCs w:val="18"/>
                <w:color w:val="auto"/>
              </w:rPr>
              <w:t>amended.</w:t>
            </w:r>
          </w:p>
        </w:tc>
      </w:tr>
      <w:tr>
        <w:trPr>
          <w:trHeight w:val="418"/>
        </w:trPr>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10580" w:type="dxa"/>
            <w:vAlign w:val="bottom"/>
          </w:tcPr>
          <w:p>
            <w:pPr>
              <w:ind w:left="860"/>
              <w:spacing w:after="0"/>
              <w:rPr>
                <w:sz w:val="20"/>
                <w:szCs w:val="20"/>
                <w:color w:val="auto"/>
              </w:rPr>
            </w:pPr>
            <w:r>
              <w:rPr>
                <w:rFonts w:ascii="Arial" w:cs="Arial" w:eastAsia="Arial" w:hAnsi="Arial"/>
                <w:sz w:val="18"/>
                <w:szCs w:val="18"/>
                <w:color w:val="auto"/>
                <w:w w:val="92"/>
              </w:rPr>
              <w:t>Certification of Principal Financial Officer Required Under Rule 13a-14(a) and 15d-14(a) of the Securities Exchange Act of 1934, as</w:t>
            </w:r>
          </w:p>
        </w:tc>
      </w:tr>
      <w:tr>
        <w:trPr>
          <w:trHeight w:val="230"/>
        </w:trPr>
        <w:tc>
          <w:tcPr>
            <w:tcW w:w="700" w:type="dxa"/>
            <w:vAlign w:val="bottom"/>
          </w:tcPr>
          <w:p>
            <w:pPr>
              <w:spacing w:after="0"/>
              <w:rPr>
                <w:sz w:val="20"/>
                <w:szCs w:val="20"/>
                <w:color w:val="auto"/>
              </w:rPr>
            </w:pPr>
          </w:p>
        </w:tc>
        <w:tc>
          <w:tcPr>
            <w:tcW w:w="10580" w:type="dxa"/>
            <w:vAlign w:val="bottom"/>
          </w:tcPr>
          <w:p>
            <w:pPr>
              <w:ind w:left="680"/>
              <w:spacing w:after="0"/>
              <w:rPr>
                <w:sz w:val="20"/>
                <w:szCs w:val="20"/>
                <w:color w:val="auto"/>
              </w:rPr>
            </w:pPr>
            <w:r>
              <w:rPr>
                <w:rFonts w:ascii="Arial" w:cs="Arial" w:eastAsia="Arial" w:hAnsi="Arial"/>
                <w:sz w:val="18"/>
                <w:szCs w:val="18"/>
                <w:color w:val="auto"/>
              </w:rPr>
              <w:t>amended.</w:t>
            </w:r>
          </w:p>
        </w:tc>
      </w:tr>
      <w:tr>
        <w:trPr>
          <w:trHeight w:val="418"/>
        </w:trPr>
        <w:tc>
          <w:tcPr>
            <w:tcW w:w="700" w:type="dxa"/>
            <w:vAlign w:val="bottom"/>
          </w:tcPr>
          <w:p>
            <w:pPr>
              <w:jc w:val="right"/>
              <w:spacing w:after="0"/>
              <w:rPr>
                <w:sz w:val="20"/>
                <w:szCs w:val="20"/>
                <w:color w:val="auto"/>
              </w:rPr>
            </w:pPr>
            <w:r>
              <w:rPr>
                <w:rFonts w:ascii="Arial" w:cs="Arial" w:eastAsia="Arial" w:hAnsi="Arial"/>
                <w:sz w:val="18"/>
                <w:szCs w:val="18"/>
                <w:color w:val="auto"/>
              </w:rPr>
              <w:t>32.1</w:t>
            </w:r>
          </w:p>
        </w:tc>
        <w:tc>
          <w:tcPr>
            <w:tcW w:w="10580" w:type="dxa"/>
            <w:vAlign w:val="bottom"/>
          </w:tcPr>
          <w:p>
            <w:pPr>
              <w:ind w:left="860"/>
              <w:spacing w:after="0"/>
              <w:rPr>
                <w:sz w:val="20"/>
                <w:szCs w:val="20"/>
                <w:color w:val="auto"/>
              </w:rPr>
            </w:pPr>
            <w:r>
              <w:rPr>
                <w:rFonts w:ascii="Arial" w:cs="Arial" w:eastAsia="Arial" w:hAnsi="Arial"/>
                <w:sz w:val="18"/>
                <w:szCs w:val="18"/>
                <w:color w:val="auto"/>
                <w:w w:val="92"/>
              </w:rPr>
              <w:t>Certification of Principal Executive Officer and Principal Financial Officer Required Under Rule 13a-14(b) of the Securities Exchange</w:t>
            </w:r>
          </w:p>
        </w:tc>
      </w:tr>
      <w:tr>
        <w:trPr>
          <w:trHeight w:val="230"/>
        </w:trPr>
        <w:tc>
          <w:tcPr>
            <w:tcW w:w="700" w:type="dxa"/>
            <w:vAlign w:val="bottom"/>
          </w:tcPr>
          <w:p>
            <w:pPr>
              <w:spacing w:after="0"/>
              <w:rPr>
                <w:sz w:val="20"/>
                <w:szCs w:val="20"/>
                <w:color w:val="auto"/>
              </w:rPr>
            </w:pPr>
          </w:p>
        </w:tc>
        <w:tc>
          <w:tcPr>
            <w:tcW w:w="10580" w:type="dxa"/>
            <w:vAlign w:val="bottom"/>
          </w:tcPr>
          <w:p>
            <w:pPr>
              <w:ind w:left="680"/>
              <w:spacing w:after="0"/>
              <w:rPr>
                <w:sz w:val="20"/>
                <w:szCs w:val="20"/>
                <w:color w:val="auto"/>
              </w:rPr>
            </w:pPr>
            <w:r>
              <w:rPr>
                <w:rFonts w:ascii="Arial" w:cs="Arial" w:eastAsia="Arial" w:hAnsi="Arial"/>
                <w:sz w:val="18"/>
                <w:szCs w:val="18"/>
                <w:color w:val="auto"/>
              </w:rPr>
              <w:t>Act of 1934, as amended, and 18 U.S.C. §1350.</w:t>
            </w:r>
          </w:p>
        </w:tc>
      </w:tr>
    </w:tbl>
    <w:p>
      <w:pPr>
        <w:spacing w:after="0" w:line="202" w:lineRule="exact"/>
        <w:rPr>
          <w:sz w:val="20"/>
          <w:szCs w:val="20"/>
          <w:color w:val="auto"/>
        </w:rPr>
      </w:pPr>
    </w:p>
    <w:p>
      <w:pPr>
        <w:ind w:left="1380" w:right="100" w:hanging="1021"/>
        <w:spacing w:after="0" w:line="279" w:lineRule="auto"/>
        <w:tabs>
          <w:tab w:leader="none" w:pos="1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following financial statements from the XBiotech Inc. Quarterly Report on Form 10-Q for the quarter ended March 31, 2017, formatted in Extensive Business Reporting Language (XBRL): (i) condensed consolidated balance sheets, (ii) condensed consolidated statements of operations, (iii) condensed consolidated statements of comprehensive loss, (iv) condensed consolidated statements of cash flows and (v) notes to condensed consolidated financial statements (detail tagged).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88"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color w:val="auto"/>
              </w:rPr>
              <w:t>Date: May 10, 2017</w:t>
            </w:r>
          </w:p>
        </w:tc>
        <w:tc>
          <w:tcPr>
            <w:tcW w:w="27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XBIOTECH INC.</w:t>
            </w:r>
          </w:p>
        </w:tc>
      </w:tr>
      <w:tr>
        <w:trPr>
          <w:trHeight w:val="432"/>
        </w:trPr>
        <w:tc>
          <w:tcPr>
            <w:tcW w:w="3680" w:type="dxa"/>
            <w:vAlign w:val="bottom"/>
          </w:tcPr>
          <w:p>
            <w:pPr>
              <w:spacing w:after="0"/>
              <w:rPr>
                <w:sz w:val="24"/>
                <w:szCs w:val="24"/>
                <w:color w:val="auto"/>
              </w:rPr>
            </w:pPr>
          </w:p>
        </w:tc>
        <w:tc>
          <w:tcPr>
            <w:tcW w:w="2700" w:type="dxa"/>
            <w:vAlign w:val="bottom"/>
          </w:tcPr>
          <w:p>
            <w:pPr>
              <w:ind w:left="222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Simard</w:t>
            </w:r>
          </w:p>
        </w:tc>
      </w:tr>
      <w:tr>
        <w:trPr>
          <w:trHeight w:val="195"/>
        </w:trPr>
        <w:tc>
          <w:tcPr>
            <w:tcW w:w="36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680" w:type="dxa"/>
            <w:vAlign w:val="bottom"/>
          </w:tcPr>
          <w:p>
            <w:pPr>
              <w:ind w:left="180"/>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36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36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May 10, 2017</w:t>
            </w:r>
          </w:p>
        </w:tc>
        <w:tc>
          <w:tcPr>
            <w:tcW w:w="2700" w:type="dxa"/>
            <w:vAlign w:val="bottom"/>
          </w:tcPr>
          <w:p>
            <w:pPr>
              <w:ind w:left="222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Queena Han</w:t>
            </w:r>
          </w:p>
        </w:tc>
      </w:tr>
      <w:tr>
        <w:trPr>
          <w:trHeight w:val="195"/>
        </w:trPr>
        <w:tc>
          <w:tcPr>
            <w:tcW w:w="36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680" w:type="dxa"/>
            <w:vAlign w:val="bottom"/>
          </w:tcPr>
          <w:p>
            <w:pPr>
              <w:ind w:left="180"/>
              <w:spacing w:after="0" w:line="195" w:lineRule="exact"/>
              <w:rPr>
                <w:sz w:val="20"/>
                <w:szCs w:val="20"/>
                <w:color w:val="auto"/>
              </w:rPr>
            </w:pPr>
            <w:r>
              <w:rPr>
                <w:rFonts w:ascii="Arial" w:cs="Arial" w:eastAsia="Arial" w:hAnsi="Arial"/>
                <w:sz w:val="18"/>
                <w:szCs w:val="18"/>
                <w:color w:val="auto"/>
              </w:rPr>
              <w:t>Queena Han</w:t>
            </w:r>
          </w:p>
        </w:tc>
      </w:tr>
      <w:tr>
        <w:trPr>
          <w:trHeight w:val="216"/>
        </w:trPr>
        <w:tc>
          <w:tcPr>
            <w:tcW w:w="36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w w:val="89"/>
              </w:rPr>
              <w:t>Vice President, Finance and Human Resources, and Secretary</w:t>
            </w:r>
          </w:p>
        </w:tc>
      </w:tr>
      <w:tr>
        <w:trPr>
          <w:trHeight w:val="230"/>
        </w:trPr>
        <w:tc>
          <w:tcPr>
            <w:tcW w:w="36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 and Principal Accounting Officer</w:t>
            </w:r>
            <w:r>
              <w:rPr>
                <w:rFonts w:ascii="Arial" w:cs="Arial" w:eastAsia="Arial" w:hAnsi="Arial"/>
                <w:sz w:val="18"/>
                <w:szCs w:val="18"/>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720" w:hanging="290"/>
        <w:spacing w:after="0" w:line="264"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ind w:left="720" w:hanging="300"/>
        <w:spacing w:after="0" w:line="308" w:lineRule="auto"/>
        <w:tabs>
          <w:tab w:leader="none" w:pos="7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hanging="290"/>
        <w:spacing w:after="0" w:line="264"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hanging="290"/>
        <w:spacing w:after="0" w:line="277"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20" w:right="20" w:hanging="300"/>
        <w:spacing w:after="0" w:line="277"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Date: May 10, 2017</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Simard</w:t>
            </w:r>
          </w:p>
        </w:tc>
      </w:tr>
      <w:tr>
        <w:trPr>
          <w:trHeight w:val="195"/>
        </w:trPr>
        <w:tc>
          <w:tcPr>
            <w:tcW w:w="7660" w:type="dxa"/>
            <w:vAlign w:val="bottom"/>
          </w:tcPr>
          <w:p>
            <w:pPr>
              <w:spacing w:after="0"/>
              <w:rPr>
                <w:sz w:val="16"/>
                <w:szCs w:val="16"/>
                <w:color w:val="auto"/>
              </w:rPr>
            </w:pPr>
          </w:p>
        </w:tc>
        <w:tc>
          <w:tcPr>
            <w:tcW w:w="3760" w:type="dxa"/>
            <w:vAlign w:val="bottom"/>
          </w:tcPr>
          <w:p>
            <w:pPr>
              <w:ind w:left="180"/>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766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766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720" w:hanging="290"/>
        <w:spacing w:after="0" w:line="264"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ind w:left="720" w:hanging="300"/>
        <w:spacing w:after="0" w:line="308" w:lineRule="auto"/>
        <w:tabs>
          <w:tab w:leader="none" w:pos="7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hanging="290"/>
        <w:spacing w:after="0" w:line="264"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hanging="290"/>
        <w:spacing w:after="0" w:line="277"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20" w:right="20" w:hanging="300"/>
        <w:spacing w:after="0" w:line="277"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1" w:lineRule="exact"/>
        <w:rPr>
          <w:sz w:val="20"/>
          <w:szCs w:val="20"/>
          <w:color w:val="auto"/>
        </w:rPr>
      </w:pPr>
    </w:p>
    <w:p>
      <w:pPr>
        <w:spacing w:after="0"/>
        <w:tabs>
          <w:tab w:leader="none" w:pos="7000" w:val="left"/>
        </w:tabs>
        <w:rPr>
          <w:sz w:val="20"/>
          <w:szCs w:val="20"/>
          <w:color w:val="auto"/>
        </w:rPr>
      </w:pPr>
      <w:r>
        <w:rPr>
          <w:rFonts w:ascii="Arial" w:cs="Arial" w:eastAsia="Arial" w:hAnsi="Arial"/>
          <w:sz w:val="18"/>
          <w:szCs w:val="18"/>
          <w:color w:val="auto"/>
        </w:rPr>
        <w:t>Date: May 10, 2017</w:t>
      </w:r>
      <w:r>
        <w:rPr>
          <w:sz w:val="20"/>
          <w:szCs w:val="20"/>
          <w:color w:val="auto"/>
        </w:rPr>
        <w:tab/>
      </w:r>
      <w:r>
        <w:rPr>
          <w:rFonts w:ascii="Arial" w:cs="Arial" w:eastAsia="Arial" w:hAnsi="Arial"/>
          <w:sz w:val="17"/>
          <w:szCs w:val="17"/>
          <w:b w:val="1"/>
          <w:bCs w:val="1"/>
          <w:color w:val="auto"/>
        </w:rPr>
        <w:t>/S/ QUEENA HAN</w:t>
      </w:r>
    </w:p>
    <w:p>
      <w:pPr>
        <w:spacing w:after="0" w:line="2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Queena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Vice President, Finance and Human Resources and Secretary</w:t>
      </w:r>
    </w:p>
    <w:p>
      <w:pPr>
        <w:spacing w:after="0" w:line="44"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27" w:name="page28"/>
    <w:bookmarkEnd w:id="27"/>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 18 U.S.C. SECTION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March 31, 2017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 JOHN SIMARD</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May 10, 2017</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March 31, 2017,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 QUEENA HAN</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Queena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Vice President, Finance and Human Resources and Secretary</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May 10,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decimal"/>
      <w:start w:val="4"/>
    </w:lvl>
  </w:abstractNum>
  <w:abstractNum w:abstractNumId="9">
    <w:nsid w:val="140E0F76"/>
    <w:multiLevelType w:val="hybridMultilevel"/>
    <w:lvl w:ilvl="0">
      <w:lvlJc w:val="left"/>
      <w:lvlText w:val="%1."/>
      <w:numFmt w:val="decimal"/>
      <w:start w:val="5"/>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2019-12-29T06:23:10Z</dcterms:created>
  <dcterms:modified xsi:type="dcterms:W3CDTF">2019-12-29T06:23:10Z</dcterms:modified>
</cp:coreProperties>
</file>