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4320" w:right="4020" w:hanging="4312"/>
        <w:spacing w:after="0" w:line="547" w:lineRule="auto"/>
        <w:tabs>
          <w:tab w:leader="none" w:pos="592"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001-37437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XBIOTECH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420"/>
          </w:cols>
          <w:pgMar w:left="240" w:top="206" w:right="2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__</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206" w:right="2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8201 E. Riverside Drive, Bldg. 4, Suite 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Austin, TX 78744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Number (512) 386-2900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0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8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580" w:type="dxa"/>
            <w:vAlign w:val="bottom"/>
          </w:tcPr>
          <w:p>
            <w:pPr>
              <w:ind w:left="88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August 8, 2017, there were 35,419,772 shares of the Registrant's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692"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20" w:type="dxa"/>
            <w:vAlign w:val="bottom"/>
            <w:gridSpan w:val="12"/>
          </w:tcPr>
          <w:p>
            <w:pPr>
              <w:jc w:val="center"/>
              <w:ind w:right="3320"/>
              <w:spacing w:after="0"/>
              <w:rPr>
                <w:sz w:val="20"/>
                <w:szCs w:val="20"/>
                <w:color w:val="auto"/>
              </w:rPr>
            </w:pPr>
            <w:r>
              <w:rPr>
                <w:rFonts w:ascii="Arial" w:cs="Arial" w:eastAsia="Arial" w:hAnsi="Arial"/>
                <w:sz w:val="18"/>
                <w:szCs w:val="18"/>
                <w:b w:val="1"/>
                <w:bCs w:val="1"/>
                <w:color w:val="auto"/>
              </w:rPr>
              <w:t>PART I—FINANCIAL INFORMATION</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20" w:type="dxa"/>
            <w:vAlign w:val="bottom"/>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Item 1.</w:t>
              </w:r>
            </w:hyperlink>
          </w:p>
        </w:tc>
        <w:tc>
          <w:tcPr>
            <w:tcW w:w="860" w:type="dxa"/>
            <w:vAlign w:val="bottom"/>
            <w:gridSpan w:val="2"/>
          </w:tcPr>
          <w:p>
            <w:pPr>
              <w:spacing w:after="0"/>
              <w:rPr>
                <w:sz w:val="24"/>
                <w:szCs w:val="24"/>
                <w:color w:val="auto"/>
              </w:rPr>
            </w:pPr>
          </w:p>
        </w:tc>
        <w:tc>
          <w:tcPr>
            <w:tcW w:w="2720" w:type="dxa"/>
            <w:vAlign w:val="bottom"/>
            <w:gridSpan w:val="9"/>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Consolidated Financial Statements</w:t>
              </w:r>
            </w:hyperlink>
          </w:p>
        </w:tc>
        <w:tc>
          <w:tcPr>
            <w:tcW w:w="3160" w:type="dxa"/>
            <w:vAlign w:val="bottom"/>
            <w:tcBorders>
              <w:top w:val="single" w:sz="8" w:color="auto"/>
            </w:tcBorders>
            <w:gridSpan w:val="5"/>
          </w:tcPr>
          <w:p>
            <w:pPr>
              <w:spacing w:after="0"/>
              <w:rPr>
                <w:sz w:val="24"/>
                <w:szCs w:val="24"/>
                <w:color w:val="auto"/>
              </w:rPr>
            </w:pPr>
          </w:p>
        </w:tc>
        <w:tc>
          <w:tcPr>
            <w:tcW w:w="3540" w:type="dxa"/>
            <w:vAlign w:val="bottom"/>
            <w:gridSpan w:val="6"/>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1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Balance Sheets as of June 30, 2017 (unaudited) and December 31, 2016</w:t>
              </w:r>
            </w:hyperlink>
          </w:p>
        </w:tc>
        <w:tc>
          <w:tcPr>
            <w:tcW w:w="3240" w:type="dxa"/>
            <w:vAlign w:val="bottom"/>
            <w:gridSpan w:val="5"/>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27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20" w:type="dxa"/>
            <w:vAlign w:val="bottom"/>
            <w:gridSpan w:val="20"/>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Statements of Operations for the Three Months and Six Months Ended June 30, 2017 (unaudited) and 2016</w:t>
              </w:r>
            </w:hyperlink>
          </w:p>
        </w:tc>
        <w:tc>
          <w:tcPr>
            <w:tcW w:w="540" w:type="dxa"/>
            <w:vAlign w:val="bottom"/>
            <w:gridSpan w:val="3"/>
            <w:vMerge w:val="restart"/>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Borders>
              <w:top w:val="single" w:sz="8" w:color="0000EE"/>
            </w:tcBorders>
            <w:gridSpan w:val="2"/>
            <w:vMerge w:val="restart"/>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w:t>
              </w:r>
            </w:hyperlink>
          </w:p>
        </w:tc>
        <w:tc>
          <w:tcPr>
            <w:tcW w:w="7880" w:type="dxa"/>
            <w:vAlign w:val="bottom"/>
            <w:tcBorders>
              <w:top w:val="single" w:sz="8" w:color="0000EE"/>
            </w:tcBorders>
            <w:gridSpan w:val="16"/>
            <w:vMerge w:val="restart"/>
          </w:tcPr>
          <w:p>
            <w:pPr>
              <w:spacing w:after="0"/>
              <w:rPr>
                <w:sz w:val="7"/>
                <w:szCs w:val="7"/>
                <w:color w:val="auto"/>
              </w:rPr>
            </w:pPr>
          </w:p>
        </w:tc>
        <w:tc>
          <w:tcPr>
            <w:tcW w:w="700" w:type="dxa"/>
            <w:vAlign w:val="bottom"/>
            <w:gridSpan w:val="2"/>
            <w:vMerge w:val="restart"/>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Borders>
              <w:top w:val="single" w:sz="8" w:color="0000EE"/>
              <w:bottom w:val="single" w:sz="8" w:color="0000EE"/>
            </w:tcBorders>
            <w:gridSpan w:val="2"/>
            <w:vMerge w:val="continue"/>
          </w:tcPr>
          <w:p>
            <w:pPr>
              <w:spacing w:after="0"/>
              <w:rPr>
                <w:sz w:val="7"/>
                <w:szCs w:val="7"/>
                <w:color w:val="auto"/>
              </w:rPr>
            </w:pPr>
          </w:p>
        </w:tc>
        <w:tc>
          <w:tcPr>
            <w:tcW w:w="7880" w:type="dxa"/>
            <w:vAlign w:val="bottom"/>
            <w:tcBorders>
              <w:top w:val="single" w:sz="8" w:color="0000EE"/>
            </w:tcBorders>
            <w:gridSpan w:val="16"/>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20" w:type="dxa"/>
            <w:vAlign w:val="bottom"/>
            <w:gridSpan w:val="20"/>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Consolidated Statements of Comprehensive Loss for the Three Months and Six Months Ended June 30, 2017 (unaudited) and</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2016 (unaudited)</w:t>
              </w:r>
            </w:hyperlink>
          </w:p>
        </w:tc>
        <w:tc>
          <w:tcPr>
            <w:tcW w:w="380" w:type="dxa"/>
            <w:vAlign w:val="bottom"/>
          </w:tcPr>
          <w:p>
            <w:pPr>
              <w:spacing w:after="0"/>
              <w:rPr>
                <w:sz w:val="17"/>
                <w:szCs w:val="17"/>
                <w:color w:val="auto"/>
              </w:rPr>
            </w:pPr>
          </w:p>
        </w:tc>
        <w:tc>
          <w:tcPr>
            <w:tcW w:w="540" w:type="dxa"/>
            <w:vAlign w:val="bottom"/>
            <w:gridSpan w:val="3"/>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2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Consolidated Statements of Cash Flows for Six Months Ended June 30, 2017 (unaudited) and 2016 (unaudited)</w:t>
              </w:r>
            </w:hyperlink>
          </w:p>
        </w:tc>
        <w:tc>
          <w:tcPr>
            <w:tcW w:w="54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40" w:type="dxa"/>
            <w:vAlign w:val="bottom"/>
            <w:gridSpan w:val="11"/>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Notes to Consolidated Financial Statements (unaudited)</w:t>
              </w:r>
            </w:hyperlink>
          </w:p>
        </w:tc>
        <w:tc>
          <w:tcPr>
            <w:tcW w:w="3980" w:type="dxa"/>
            <w:vAlign w:val="bottom"/>
            <w:gridSpan w:val="6"/>
          </w:tcPr>
          <w:p>
            <w:pPr>
              <w:spacing w:after="0"/>
              <w:rPr>
                <w:sz w:val="24"/>
                <w:szCs w:val="24"/>
                <w:color w:val="auto"/>
              </w:rPr>
            </w:pPr>
          </w:p>
        </w:tc>
        <w:tc>
          <w:tcPr>
            <w:tcW w:w="1400" w:type="dxa"/>
            <w:vAlign w:val="bottom"/>
            <w:gridSpan w:val="3"/>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2.</w:t>
              </w:r>
            </w:hyperlink>
          </w:p>
        </w:tc>
        <w:tc>
          <w:tcPr>
            <w:tcW w:w="860" w:type="dxa"/>
            <w:vAlign w:val="bottom"/>
            <w:gridSpan w:val="2"/>
          </w:tcPr>
          <w:p>
            <w:pPr>
              <w:spacing w:after="0"/>
              <w:rPr>
                <w:sz w:val="24"/>
                <w:szCs w:val="24"/>
                <w:color w:val="auto"/>
              </w:rPr>
            </w:pPr>
          </w:p>
        </w:tc>
        <w:tc>
          <w:tcPr>
            <w:tcW w:w="942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54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3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3.</w:t>
              </w:r>
            </w:hyperlink>
          </w:p>
        </w:tc>
        <w:tc>
          <w:tcPr>
            <w:tcW w:w="860" w:type="dxa"/>
            <w:vAlign w:val="bottom"/>
            <w:gridSpan w:val="2"/>
          </w:tcPr>
          <w:p>
            <w:pPr>
              <w:spacing w:after="0"/>
              <w:rPr>
                <w:sz w:val="24"/>
                <w:szCs w:val="24"/>
                <w:color w:val="auto"/>
              </w:rPr>
            </w:pPr>
          </w:p>
        </w:tc>
        <w:tc>
          <w:tcPr>
            <w:tcW w:w="4360" w:type="dxa"/>
            <w:vAlign w:val="bottom"/>
            <w:gridSpan w:val="12"/>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Quantitative and Qualitative Disclosures About Market Risk</w:t>
              </w:r>
            </w:hyperlink>
          </w:p>
        </w:tc>
        <w:tc>
          <w:tcPr>
            <w:tcW w:w="2100" w:type="dxa"/>
            <w:vAlign w:val="bottom"/>
            <w:gridSpan w:val="4"/>
          </w:tcPr>
          <w:p>
            <w:pPr>
              <w:spacing w:after="0"/>
              <w:rPr>
                <w:sz w:val="24"/>
                <w:szCs w:val="24"/>
                <w:color w:val="auto"/>
              </w:rPr>
            </w:pPr>
          </w:p>
        </w:tc>
        <w:tc>
          <w:tcPr>
            <w:tcW w:w="2960" w:type="dxa"/>
            <w:vAlign w:val="bottom"/>
            <w:gridSpan w:val="4"/>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360" w:type="dxa"/>
            <w:vAlign w:val="bottom"/>
            <w:tcBorders>
              <w:left w:val="single" w:sz="8" w:color="0000EE"/>
            </w:tcBorders>
          </w:tcPr>
          <w:p>
            <w:pPr>
              <w:spacing w:after="0" w:line="20" w:lineRule="exact"/>
              <w:rPr>
                <w:sz w:val="1"/>
                <w:szCs w:val="1"/>
                <w:color w:val="auto"/>
              </w:rPr>
            </w:pPr>
          </w:p>
        </w:tc>
        <w:tc>
          <w:tcPr>
            <w:tcW w:w="37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4.</w:t>
              </w:r>
            </w:hyperlink>
          </w:p>
        </w:tc>
        <w:tc>
          <w:tcPr>
            <w:tcW w:w="860" w:type="dxa"/>
            <w:vAlign w:val="bottom"/>
            <w:gridSpan w:val="2"/>
          </w:tcPr>
          <w:p>
            <w:pPr>
              <w:spacing w:after="0"/>
              <w:rPr>
                <w:sz w:val="24"/>
                <w:szCs w:val="24"/>
                <w:color w:val="auto"/>
              </w:rPr>
            </w:pPr>
          </w:p>
        </w:tc>
        <w:tc>
          <w:tcPr>
            <w:tcW w:w="4360" w:type="dxa"/>
            <w:vAlign w:val="bottom"/>
            <w:gridSpan w:val="1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5060" w:type="dxa"/>
            <w:vAlign w:val="bottom"/>
            <w:gridSpan w:val="8"/>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77"/>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60" w:type="dxa"/>
            <w:vAlign w:val="bottom"/>
            <w:gridSpan w:val="10"/>
          </w:tcPr>
          <w:p>
            <w:pPr>
              <w:jc w:val="center"/>
              <w:ind w:right="3700"/>
              <w:spacing w:after="0"/>
              <w:rPr>
                <w:sz w:val="20"/>
                <w:szCs w:val="20"/>
                <w:color w:val="auto"/>
              </w:rPr>
            </w:pPr>
            <w:r>
              <w:rPr>
                <w:rFonts w:ascii="Arial" w:cs="Arial" w:eastAsia="Arial" w:hAnsi="Arial"/>
                <w:sz w:val="18"/>
                <w:szCs w:val="18"/>
                <w:b w:val="1"/>
                <w:bCs w:val="1"/>
                <w:color w:val="auto"/>
              </w:rPr>
              <w:t>PART II—OTHER INFORMATION</w:t>
            </w: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2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1.</w:t>
              </w:r>
            </w:hyperlink>
          </w:p>
        </w:tc>
        <w:tc>
          <w:tcPr>
            <w:tcW w:w="860" w:type="dxa"/>
            <w:vAlign w:val="bottom"/>
            <w:gridSpan w:val="2"/>
          </w:tcPr>
          <w:p>
            <w:pPr>
              <w:spacing w:after="0"/>
              <w:rPr>
                <w:sz w:val="24"/>
                <w:szCs w:val="24"/>
                <w:color w:val="auto"/>
              </w:rPr>
            </w:pPr>
          </w:p>
        </w:tc>
        <w:tc>
          <w:tcPr>
            <w:tcW w:w="2860" w:type="dxa"/>
            <w:vAlign w:val="bottom"/>
            <w:gridSpan w:val="1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2860" w:type="dxa"/>
            <w:vAlign w:val="bottom"/>
            <w:tcBorders>
              <w:top w:val="single" w:sz="8" w:color="auto"/>
            </w:tcBorders>
            <w:gridSpan w:val="3"/>
          </w:tcPr>
          <w:p>
            <w:pPr>
              <w:spacing w:after="0"/>
              <w:rPr>
                <w:sz w:val="24"/>
                <w:szCs w:val="24"/>
                <w:color w:val="auto"/>
              </w:rPr>
            </w:pPr>
          </w:p>
        </w:tc>
        <w:tc>
          <w:tcPr>
            <w:tcW w:w="3700" w:type="dxa"/>
            <w:vAlign w:val="bottom"/>
            <w:gridSpan w:val="7"/>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8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1A.</w:t>
              </w:r>
            </w:hyperlink>
          </w:p>
        </w:tc>
        <w:tc>
          <w:tcPr>
            <w:tcW w:w="942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54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60" w:type="dxa"/>
            <w:vAlign w:val="bottom"/>
            <w:gridSpan w:val="12"/>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Unregistered Sales of Equity Securities and Use of Proceeds</w:t>
              </w:r>
            </w:hyperlink>
          </w:p>
        </w:tc>
        <w:tc>
          <w:tcPr>
            <w:tcW w:w="5060" w:type="dxa"/>
            <w:vAlign w:val="bottom"/>
            <w:gridSpan w:val="8"/>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3.</w:t>
              </w:r>
            </w:hyperlink>
          </w:p>
        </w:tc>
        <w:tc>
          <w:tcPr>
            <w:tcW w:w="860" w:type="dxa"/>
            <w:vAlign w:val="bottom"/>
            <w:gridSpan w:val="2"/>
          </w:tcPr>
          <w:p>
            <w:pPr>
              <w:spacing w:after="0"/>
              <w:rPr>
                <w:sz w:val="24"/>
                <w:szCs w:val="24"/>
                <w:color w:val="auto"/>
              </w:rPr>
            </w:pPr>
          </w:p>
        </w:tc>
        <w:tc>
          <w:tcPr>
            <w:tcW w:w="2340" w:type="dxa"/>
            <w:vAlign w:val="bottom"/>
            <w:gridSpan w:val="7"/>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Defaults Upon Senior Securities</w:t>
              </w:r>
            </w:hyperlink>
          </w:p>
        </w:tc>
        <w:tc>
          <w:tcPr>
            <w:tcW w:w="2020" w:type="dxa"/>
            <w:vAlign w:val="bottom"/>
            <w:gridSpan w:val="5"/>
          </w:tcPr>
          <w:p>
            <w:pPr>
              <w:spacing w:after="0"/>
              <w:rPr>
                <w:sz w:val="24"/>
                <w:szCs w:val="24"/>
                <w:color w:val="auto"/>
              </w:rPr>
            </w:pPr>
          </w:p>
        </w:tc>
        <w:tc>
          <w:tcPr>
            <w:tcW w:w="5060" w:type="dxa"/>
            <w:vAlign w:val="bottom"/>
            <w:gridSpan w:val="8"/>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708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4.</w:t>
              </w:r>
            </w:hyperlink>
          </w:p>
        </w:tc>
        <w:tc>
          <w:tcPr>
            <w:tcW w:w="860" w:type="dxa"/>
            <w:vAlign w:val="bottom"/>
            <w:gridSpan w:val="2"/>
          </w:tcPr>
          <w:p>
            <w:pPr>
              <w:spacing w:after="0"/>
              <w:rPr>
                <w:sz w:val="24"/>
                <w:szCs w:val="24"/>
                <w:color w:val="auto"/>
              </w:rPr>
            </w:pPr>
          </w:p>
        </w:tc>
        <w:tc>
          <w:tcPr>
            <w:tcW w:w="1780" w:type="dxa"/>
            <w:vAlign w:val="bottom"/>
            <w:gridSpan w:val="6"/>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Mine Safety Disclosures</w:t>
              </w:r>
            </w:hyperlink>
          </w:p>
        </w:tc>
        <w:tc>
          <w:tcPr>
            <w:tcW w:w="560" w:type="dxa"/>
            <w:vAlign w:val="bottom"/>
          </w:tcPr>
          <w:p>
            <w:pPr>
              <w:spacing w:after="0"/>
              <w:rPr>
                <w:sz w:val="24"/>
                <w:szCs w:val="24"/>
                <w:color w:val="auto"/>
              </w:rPr>
            </w:pPr>
          </w:p>
        </w:tc>
        <w:tc>
          <w:tcPr>
            <w:tcW w:w="7080" w:type="dxa"/>
            <w:vAlign w:val="bottom"/>
            <w:gridSpan w:val="13"/>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64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5.</w:t>
              </w:r>
            </w:hyperlink>
          </w:p>
        </w:tc>
        <w:tc>
          <w:tcPr>
            <w:tcW w:w="860" w:type="dxa"/>
            <w:vAlign w:val="bottom"/>
            <w:gridSpan w:val="2"/>
          </w:tcPr>
          <w:p>
            <w:pPr>
              <w:spacing w:after="0"/>
              <w:rPr>
                <w:sz w:val="24"/>
                <w:szCs w:val="24"/>
                <w:color w:val="auto"/>
              </w:rPr>
            </w:pPr>
          </w:p>
        </w:tc>
        <w:tc>
          <w:tcPr>
            <w:tcW w:w="1780" w:type="dxa"/>
            <w:vAlign w:val="bottom"/>
            <w:gridSpan w:val="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7640" w:type="dxa"/>
            <w:vAlign w:val="bottom"/>
            <w:gridSpan w:val="14"/>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810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6.</w:t>
              </w:r>
            </w:hyperlink>
          </w:p>
        </w:tc>
        <w:tc>
          <w:tcPr>
            <w:tcW w:w="860" w:type="dxa"/>
            <w:vAlign w:val="bottom"/>
            <w:gridSpan w:val="2"/>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8100" w:type="dxa"/>
            <w:vAlign w:val="bottom"/>
            <w:gridSpan w:val="15"/>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229" w:lineRule="exact"/>
        <w:rPr>
          <w:sz w:val="20"/>
          <w:szCs w:val="20"/>
          <w:color w:val="auto"/>
        </w:rPr>
      </w:pPr>
    </w:p>
    <w:p>
      <w:pPr>
        <w:ind w:firstLine="551"/>
        <w:spacing w:after="0" w:line="272"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are forward-looking statements.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These forward-looking statements include, but are not limited to statements about:</w:t>
      </w:r>
    </w:p>
    <w:p>
      <w:pPr>
        <w:spacing w:after="0" w:line="178" w:lineRule="exact"/>
        <w:rPr>
          <w:sz w:val="20"/>
          <w:szCs w:val="20"/>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regulatory approval to market and sell Xilonix™ in the United States, Europe and elsewhere;</w:t>
      </w:r>
    </w:p>
    <w:p>
      <w:pPr>
        <w:spacing w:after="0" w:line="252" w:lineRule="exact"/>
        <w:rPr>
          <w:rFonts w:ascii="Arial" w:cs="Arial" w:eastAsia="Arial" w:hAnsi="Arial"/>
          <w:sz w:val="18"/>
          <w:szCs w:val="18"/>
          <w:color w:val="auto"/>
        </w:rPr>
      </w:pPr>
    </w:p>
    <w:p>
      <w:pPr>
        <w:ind w:left="880" w:right="40" w:hanging="332"/>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cost, progress and success of our research and development programs, preclinical studies and clinical trials for Xilonix™ and other product candidates;</w:t>
      </w:r>
    </w:p>
    <w:p>
      <w:pPr>
        <w:spacing w:after="0" w:line="197"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the sale of Xilonix™ in the United States, Europe and elsewhere;</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sufficient numbers of patients for our future clinical trials for our pharmaceutical products;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research funding;</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new products using our True Human™ antibody discovery platform;</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for orphan and niche indications independently;</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operate our business without infringing upon the intellectual property rights of others;</w:t>
      </w:r>
    </w:p>
    <w:p>
      <w:pPr>
        <w:spacing w:after="0" w:line="263" w:lineRule="exact"/>
        <w:rPr>
          <w:rFonts w:ascii="Arial" w:cs="Arial" w:eastAsia="Arial" w:hAnsi="Arial"/>
          <w:sz w:val="17"/>
          <w:szCs w:val="17"/>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therapeutic benefits, effectiveness and safety of our product candidates;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accuracy of our estimates of the size and characteristics of the markets that may be addressed by our products and product candidates;</w:t>
      </w:r>
    </w:p>
    <w:p>
      <w:pPr>
        <w:spacing w:after="0" w:line="275" w:lineRule="exact"/>
        <w:rPr>
          <w:rFonts w:ascii="Arial" w:cs="Arial" w:eastAsia="Arial" w:hAnsi="Arial"/>
          <w:sz w:val="16"/>
          <w:szCs w:val="16"/>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Xilonix™ and future products, if any;</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collaborators’ ability to obtain and maintain regulatory approvals for our product candidates;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market risk, including interest rate changes and foreign currency fluctuations;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in the sufficiency of our cash flows to meet our needs for at least the next 12 to 24 months;</w:t>
      </w: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00"/>
          </w:cols>
          <w:pgMar w:left="240" w:top="688" w:right="459" w:bottom="1440" w:gutter="0" w:footer="0" w:header="0"/>
        </w:sectPr>
      </w:pPr>
    </w:p>
    <w:bookmarkStart w:id="4" w:name="page5"/>
    <w:bookmarkEnd w:id="4"/>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timing during which we will be an emerging growth company under the JOBS Act;</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engage and retain the employees required to grow our business;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financial performance and projected expenditures;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 including the success of competing therapies that are or become available; and</w:t>
      </w:r>
    </w:p>
    <w:p>
      <w:pPr>
        <w:spacing w:after="0" w:line="263" w:lineRule="exact"/>
        <w:rPr>
          <w:rFonts w:ascii="Arial" w:cs="Arial" w:eastAsia="Arial" w:hAnsi="Arial"/>
          <w:sz w:val="17"/>
          <w:szCs w:val="17"/>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22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All forward looking statements in this Quarterly Report on Form 10-Q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under the heading “Risk Factors” included in our annual report for the year ended December 31, 2016 filed with the SEC on March 16, 2017, and elsewhere in this Quarterly Report on Form 10-Q. These factors should not be construed as exhaustive and should be read in conjunction with the other cautionary statements that are included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2"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medical conditions,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June 30, 2017</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December 31, 2016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(unaudited)</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45,949</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1,352</w:t>
            </w:r>
          </w:p>
        </w:tc>
        <w:tc>
          <w:tcPr>
            <w:tcW w:w="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47,301</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30,540</w:t>
            </w:r>
          </w:p>
        </w:tc>
        <w:tc>
          <w:tcPr>
            <w:tcW w:w="6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Building construction in progress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19,978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77,841</w:t>
            </w:r>
          </w:p>
        </w:tc>
        <w:tc>
          <w:tcPr>
            <w:tcW w:w="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67,050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3,385</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1,278</w:t>
            </w:r>
          </w:p>
        </w:tc>
        <w:tc>
          <w:tcPr>
            <w:tcW w:w="6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4,663</w:t>
            </w:r>
          </w:p>
        </w:tc>
        <w:tc>
          <w:tcPr>
            <w:tcW w:w="6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Deferred rent</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w:t>
            </w:r>
          </w:p>
        </w:tc>
        <w:tc>
          <w:tcPr>
            <w:tcW w:w="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4,685</w:t>
            </w:r>
          </w:p>
        </w:tc>
        <w:tc>
          <w:tcPr>
            <w:tcW w:w="6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Preferred stock, no par value, unlimited shares authorized, no shares outstanding</w:t>
            </w:r>
          </w:p>
        </w:tc>
        <w:tc>
          <w:tcPr>
            <w:tcW w:w="32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no par value, unlimited shares authorized, 35,419,772 and 32,627,691 shares outstanding at</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June 30, 2017 and December 31, 2016, respectively</w:t>
            </w: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276,589</w:t>
            </w:r>
          </w:p>
        </w:tc>
        <w:tc>
          <w:tcPr>
            <w:tcW w:w="6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(326)</w:t>
            </w:r>
          </w:p>
        </w:tc>
        <w:tc>
          <w:tcPr>
            <w:tcW w:w="6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(203,107)</w:t>
            </w:r>
          </w:p>
        </w:tc>
        <w:tc>
          <w:tcPr>
            <w:tcW w:w="6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73,156</w:t>
            </w:r>
          </w:p>
        </w:tc>
        <w:tc>
          <w:tcPr>
            <w:tcW w:w="6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59,064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77,841</w:t>
            </w:r>
          </w:p>
        </w:tc>
        <w:tc>
          <w:tcPr>
            <w:tcW w:w="6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67,050</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0" w:type="dxa"/>
            <w:vAlign w:val="bottom"/>
            <w:gridSpan w:val="2"/>
          </w:tcPr>
          <w:p>
            <w:pPr>
              <w:jc w:val="right"/>
              <w:ind w:right="215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98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18"/>
                <w:szCs w:val="18"/>
                <w:color w:val="auto"/>
              </w:rPr>
            </w:pPr>
          </w:p>
        </w:tc>
        <w:tc>
          <w:tcPr>
            <w:tcW w:w="30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18"/>
                <w:szCs w:val="18"/>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8"/>
                <w:szCs w:val="18"/>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(unaudited)</w:t>
            </w: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(unaudited)</w:t>
            </w: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7,399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11,216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15,587</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2,289</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2,399</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4,372</w:t>
            </w: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9,688</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13,615</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19,959</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(9,688)</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(19,959)</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164</w:t>
            </w:r>
          </w:p>
        </w:tc>
        <w:tc>
          <w:tcPr>
            <w:tcW w:w="4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 gain (loss)</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441</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99</w:t>
            </w: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(loss)</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555</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263</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(9,133)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(13,622)</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(19,696)</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(23,879)</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gridSpan w:val="2"/>
            <w:vMerge w:val="continue"/>
          </w:tcPr>
          <w:p>
            <w:pPr>
              <w:spacing w:after="0"/>
              <w:rPr>
                <w:sz w:val="17"/>
                <w:szCs w:val="17"/>
                <w:color w:val="auto"/>
              </w:rPr>
            </w:pPr>
          </w:p>
        </w:tc>
        <w:tc>
          <w:tcPr>
            <w:tcW w:w="3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(0.26)</w:t>
            </w:r>
          </w:p>
        </w:tc>
        <w:tc>
          <w:tcPr>
            <w:tcW w:w="3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(0.42)</w:t>
            </w:r>
          </w:p>
        </w:tc>
        <w:tc>
          <w:tcPr>
            <w:tcW w:w="2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(0.57)</w:t>
            </w:r>
          </w:p>
        </w:tc>
        <w:tc>
          <w:tcPr>
            <w:tcW w:w="42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3"/>
              </w:rPr>
              <w:t>Shares used to compute basic and diluted net loss per share</w:t>
            </w: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35,320,499</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32,378,412</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34,311,690</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32,333,199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18"/>
                <w:szCs w:val="18"/>
                <w:color w:val="auto"/>
              </w:rPr>
            </w:pPr>
          </w:p>
        </w:tc>
        <w:tc>
          <w:tcPr>
            <w:tcW w:w="30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18"/>
                <w:szCs w:val="18"/>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8"/>
                <w:szCs w:val="18"/>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(unaudited)</w:t>
            </w: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(unaudited)</w:t>
            </w: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(9,133)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(19,696)</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(493)</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(9,626)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(20,079)</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18"/>
                <w:szCs w:val="18"/>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(19,696)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592</w:t>
            </w:r>
          </w:p>
        </w:tc>
        <w:tc>
          <w:tcPr>
            <w:tcW w:w="3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896</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(1,167)</w:t>
            </w:r>
          </w:p>
        </w:tc>
        <w:tc>
          <w:tcPr>
            <w:tcW w:w="3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rent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(20,376)</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(890)</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Expenditure on building construction</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(890)</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and warrants, net</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32,620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Issuance of common stock under stock option plan</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654</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33,274</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foreign exchange rate on cash and cash equivalents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11,625</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34,324</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91,051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45,949</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64,798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Accrued purchases of property and equipment</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Accrued expenditure on building construction</w:t>
            </w:r>
          </w:p>
        </w:tc>
        <w:tc>
          <w:tcPr>
            <w:tcW w:w="340" w:type="dxa"/>
            <w:vAlign w:val="bottom"/>
          </w:tcPr>
          <w:p>
            <w:pPr>
              <w:spacing w:after="0"/>
              <w:rPr>
                <w:sz w:val="20"/>
                <w:szCs w:val="20"/>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(Unaudited)</w:t>
      </w:r>
    </w:p>
    <w:p>
      <w:pPr>
        <w:spacing w:after="0" w:line="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XBiotech Inc. (“XBiotech” or “the Company”) was incorporated in Canada on March 22, 2005. XBiotech USA, Inc., a wholly-owned subsidiary of the Company, was incorporated in Delaware, United States (“U.S.”) in November 2007. XBiotech Switzerland AG, a wholly-owned subsidiary of the Company, was incorporated in Zug, Switzerland in August 2010. XBiotech Japan K.K., a wholly-owned subsidiary of the Company, was incorporated in Tokyo, Japan in March 2013. XBiotech Germany GmbH, a wholly-owned subsidiary of the Company, was incorporated in Germany in January 2014. The Company’s headquarters are located in Austin, Texas.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The Company believes that naturally occurring monoclonal antibodies have the potential to be safer and more effective than their non-naturally occurring counterparts. XBiotech is focused on developing its True Human™ pipeline and manufacturing system. The Company’s pipeline consists of product candidates at various stages of development across an array of indications including oncology, dermatology, and other inflammatory conditions such as peripheral vascular disease and type 2 diabetes.</w:t>
      </w:r>
    </w:p>
    <w:p>
      <w:pPr>
        <w:spacing w:after="0" w:line="174" w:lineRule="exact"/>
        <w:rPr>
          <w:sz w:val="20"/>
          <w:szCs w:val="20"/>
          <w:color w:val="auto"/>
        </w:rPr>
      </w:pPr>
    </w:p>
    <w:p>
      <w:pPr>
        <w:ind w:right="8580" w:firstLine="8"/>
        <w:spacing w:after="0" w:line="503" w:lineRule="auto"/>
        <w:tabs>
          <w:tab w:leader="none" w:pos="45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These consolidated financial statements have been prepared in conformity with accounting principles generally accepted in the United States (“US GAAP”). In the opinion of management, the accompanying consolidated financial statements reflect all adjustments (consisting only of normal recurring items) considered necessary to present fairly the Company’s financial position at June 30, 2017 and December 31, 2016, the results of its operations and comprehensive loss for the six month periods ended June 30, 2017 and 2016, and the cash flows for the six month periods ended June 30, 2017 and 2016.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transactions have been eliminated upon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U.S. requires management to make estimates and assumptions that affect the reported values of amounts in the financial statements and accompanying notes. Actual results could differ from those estimates.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Prior to its initial public offering on April 15, 2015, the Company utilized significant estimates and assumptions in determining the fair value of its common stock. The board of directors determined the estimated fair value of the Company’s common stock based on a number of objective and subjective factors, including the prices at which the Company sold shares of its common stock to third parties and external market conditions affecting the biotechnology industry sector. After the initial public offering, the fair market value is calculated by using the closing price of the Company’s common stock as reported by NASDAQ.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All research and development costs are charged to expense as incurred. Research and development costs include salaries and personnel-related costs, consulting fees, fees paid for contract clinical trial research services, the costs of laboratory consumables, equipment and facilities, license fees and other external costs. Costs incurred to acquire licenses for intellectual property to be used in research and development activities with no alternative future use are expensed as incurred as research and development costs.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ind w:right="220" w:firstLine="648"/>
        <w:spacing w:after="0" w:line="277"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The Company accounts for its share-based compensation awards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ASC 718, which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For awards subject to service-based vesting conditions, the Company recognizes share-based compensation expense, equal to the grant date fair value of stock options on a straight-line basis over the requisite service period.The Company accounts for forfeitures as they occur rather than on an estimated basis.</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Share-based compensation expense recognized for the three and six months ended June 30, 2017 and 2016 was included in the following line items on the Consolidated Statement of Operations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9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2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4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2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18"/>
                <w:szCs w:val="18"/>
                <w:color w:val="auto"/>
              </w:rPr>
            </w:pPr>
          </w:p>
        </w:tc>
      </w:tr>
      <w:tr>
        <w:trPr>
          <w:trHeight w:val="234"/>
        </w:trPr>
        <w:tc>
          <w:tcPr>
            <w:tcW w:w="45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1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1,184</w:t>
            </w:r>
          </w:p>
        </w:tc>
      </w:tr>
      <w:tr>
        <w:trPr>
          <w:trHeight w:val="230"/>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1,171</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511</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1,601</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1,730</w:t>
            </w: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1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898</w:t>
            </w:r>
          </w:p>
        </w:tc>
        <w:tc>
          <w:tcPr>
            <w:tcW w:w="112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1,098</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1,622</w:t>
            </w:r>
          </w:p>
        </w:tc>
        <w:tc>
          <w:tcPr>
            <w:tcW w:w="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2,914</w:t>
            </w:r>
          </w:p>
        </w:tc>
      </w:tr>
      <w:tr>
        <w:trPr>
          <w:trHeight w:val="20"/>
        </w:trPr>
        <w:tc>
          <w:tcPr>
            <w:tcW w:w="4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each option is estimated on the date of grant using the Black-Scholes method with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2017</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2016</w:t>
            </w: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2017</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2016</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67%</w:t>
            </w:r>
          </w:p>
        </w:tc>
        <w:tc>
          <w:tcPr>
            <w:tcW w:w="640" w:type="dxa"/>
            <w:vAlign w:val="bottom"/>
          </w:tcPr>
          <w:p>
            <w:pPr>
              <w:spacing w:after="0"/>
              <w:rPr>
                <w:sz w:val="18"/>
                <w:szCs w:val="18"/>
                <w:color w:val="auto"/>
              </w:rPr>
            </w:pPr>
          </w:p>
        </w:tc>
        <w:tc>
          <w:tcPr>
            <w:tcW w:w="660" w:type="dxa"/>
            <w:vAlign w:val="bottom"/>
          </w:tcPr>
          <w:p>
            <w:pPr>
              <w:jc w:val="center"/>
              <w:ind w:left="70"/>
              <w:spacing w:after="0"/>
              <w:rPr>
                <w:sz w:val="20"/>
                <w:szCs w:val="20"/>
                <w:color w:val="auto"/>
              </w:rPr>
            </w:pPr>
            <w:r>
              <w:rPr>
                <w:rFonts w:ascii="Arial" w:cs="Arial" w:eastAsia="Arial" w:hAnsi="Arial"/>
                <w:sz w:val="18"/>
                <w:szCs w:val="18"/>
                <w:color w:val="auto"/>
                <w:w w:val="94"/>
              </w:rPr>
              <w:t>65%</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ind w:right="30"/>
              <w:spacing w:after="0"/>
              <w:rPr>
                <w:sz w:val="20"/>
                <w:szCs w:val="20"/>
                <w:color w:val="auto"/>
              </w:rPr>
            </w:pPr>
            <w:r>
              <w:rPr>
                <w:rFonts w:ascii="Arial" w:cs="Arial" w:eastAsia="Arial" w:hAnsi="Arial"/>
                <w:sz w:val="18"/>
                <w:szCs w:val="18"/>
                <w:color w:val="auto"/>
                <w:w w:val="94"/>
              </w:rPr>
              <w:t>70%</w:t>
            </w:r>
          </w:p>
        </w:tc>
        <w:tc>
          <w:tcPr>
            <w:tcW w:w="660" w:type="dxa"/>
            <w:vAlign w:val="bottom"/>
          </w:tcPr>
          <w:p>
            <w:pPr>
              <w:jc w:val="center"/>
              <w:ind w:left="50"/>
              <w:spacing w:after="0"/>
              <w:rPr>
                <w:sz w:val="20"/>
                <w:szCs w:val="20"/>
                <w:color w:val="auto"/>
              </w:rPr>
            </w:pPr>
            <w:r>
              <w:rPr>
                <w:rFonts w:ascii="Arial" w:cs="Arial" w:eastAsia="Arial" w:hAnsi="Arial"/>
                <w:sz w:val="18"/>
                <w:szCs w:val="18"/>
                <w:color w:val="auto"/>
                <w:w w:val="88"/>
              </w:rPr>
              <w:t>65%</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ind w:right="50"/>
              <w:spacing w:after="0"/>
              <w:rPr>
                <w:sz w:val="20"/>
                <w:szCs w:val="20"/>
                <w:color w:val="auto"/>
              </w:rPr>
            </w:pPr>
            <w:r>
              <w:rPr>
                <w:rFonts w:ascii="Arial" w:cs="Arial" w:eastAsia="Arial" w:hAnsi="Arial"/>
                <w:sz w:val="18"/>
                <w:szCs w:val="18"/>
                <w:color w:val="auto"/>
                <w:w w:val="88"/>
              </w:rPr>
              <w:t>67%</w:t>
            </w:r>
          </w:p>
        </w:tc>
        <w:tc>
          <w:tcPr>
            <w:tcW w:w="660" w:type="dxa"/>
            <w:vAlign w:val="bottom"/>
          </w:tcPr>
          <w:p>
            <w:pPr>
              <w:jc w:val="center"/>
              <w:ind w:left="50"/>
              <w:spacing w:after="0"/>
              <w:rPr>
                <w:sz w:val="20"/>
                <w:szCs w:val="20"/>
                <w:color w:val="auto"/>
              </w:rPr>
            </w:pPr>
            <w:r>
              <w:rPr>
                <w:rFonts w:ascii="Arial" w:cs="Arial" w:eastAsia="Arial" w:hAnsi="Arial"/>
                <w:sz w:val="18"/>
                <w:szCs w:val="18"/>
                <w:color w:val="auto"/>
                <w:w w:val="88"/>
              </w:rPr>
              <w:t>65%</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70%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1.97%</w:t>
            </w:r>
          </w:p>
        </w:tc>
        <w:tc>
          <w:tcPr>
            <w:tcW w:w="6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1.16%</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1.51%</w:t>
            </w:r>
          </w:p>
        </w:tc>
        <w:tc>
          <w:tcPr>
            <w:tcW w:w="6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1.83%</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2.41%</w:t>
            </w:r>
          </w:p>
        </w:tc>
        <w:tc>
          <w:tcPr>
            <w:tcW w:w="6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1.16%</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1.82%</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660" w:type="dxa"/>
            <w:vAlign w:val="bottom"/>
          </w:tcPr>
          <w:p>
            <w:pPr>
              <w:jc w:val="center"/>
              <w:ind w:left="50"/>
              <w:spacing w:after="0"/>
              <w:rPr>
                <w:sz w:val="20"/>
                <w:szCs w:val="20"/>
                <w:color w:val="auto"/>
              </w:rPr>
            </w:pPr>
            <w:r>
              <w:rPr>
                <w:rFonts w:ascii="Arial" w:cs="Arial" w:eastAsia="Arial" w:hAnsi="Arial"/>
                <w:sz w:val="18"/>
                <w:szCs w:val="18"/>
                <w:color w:val="auto"/>
                <w:w w:val="91"/>
              </w:rPr>
              <w:t>5.25</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ind w:right="50"/>
              <w:spacing w:after="0"/>
              <w:rPr>
                <w:sz w:val="20"/>
                <w:szCs w:val="20"/>
                <w:color w:val="auto"/>
              </w:rPr>
            </w:pPr>
            <w:r>
              <w:rPr>
                <w:rFonts w:ascii="Arial" w:cs="Arial" w:eastAsia="Arial" w:hAnsi="Arial"/>
                <w:sz w:val="18"/>
                <w:szCs w:val="18"/>
                <w:color w:val="auto"/>
                <w:w w:val="91"/>
              </w:rPr>
              <w:t>6.25</w:t>
            </w:r>
          </w:p>
        </w:tc>
        <w:tc>
          <w:tcPr>
            <w:tcW w:w="660" w:type="dxa"/>
            <w:vAlign w:val="bottom"/>
          </w:tcPr>
          <w:p>
            <w:pPr>
              <w:jc w:val="center"/>
              <w:ind w:left="50"/>
              <w:spacing w:after="0"/>
              <w:rPr>
                <w:sz w:val="20"/>
                <w:szCs w:val="20"/>
                <w:color w:val="auto"/>
              </w:rPr>
            </w:pPr>
            <w:r>
              <w:rPr>
                <w:rFonts w:ascii="Arial" w:cs="Arial" w:eastAsia="Arial" w:hAnsi="Arial"/>
                <w:sz w:val="18"/>
                <w:szCs w:val="18"/>
                <w:color w:val="auto"/>
                <w:w w:val="91"/>
              </w:rPr>
              <w:t>5.38</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ind w:right="30"/>
              <w:spacing w:after="0"/>
              <w:rPr>
                <w:sz w:val="20"/>
                <w:szCs w:val="20"/>
                <w:color w:val="auto"/>
              </w:rPr>
            </w:pPr>
            <w:r>
              <w:rPr>
                <w:rFonts w:ascii="Arial" w:cs="Arial" w:eastAsia="Arial" w:hAnsi="Arial"/>
                <w:sz w:val="18"/>
                <w:szCs w:val="18"/>
                <w:color w:val="auto"/>
                <w:w w:val="89"/>
              </w:rPr>
              <w:t>10</w:t>
            </w:r>
          </w:p>
        </w:tc>
        <w:tc>
          <w:tcPr>
            <w:tcW w:w="660" w:type="dxa"/>
            <w:vAlign w:val="bottom"/>
          </w:tcPr>
          <w:p>
            <w:pPr>
              <w:jc w:val="center"/>
              <w:ind w:left="50"/>
              <w:spacing w:after="0"/>
              <w:rPr>
                <w:sz w:val="20"/>
                <w:szCs w:val="20"/>
                <w:color w:val="auto"/>
              </w:rPr>
            </w:pPr>
            <w:r>
              <w:rPr>
                <w:rFonts w:ascii="Arial" w:cs="Arial" w:eastAsia="Arial" w:hAnsi="Arial"/>
                <w:sz w:val="18"/>
                <w:szCs w:val="18"/>
                <w:color w:val="auto"/>
                <w:w w:val="79"/>
              </w:rPr>
              <w:t>5</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ind w:righ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4.66</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8.17</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4.85</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6.64</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considers highly liquid investments with a maturity of three months or less when purchased to be cash equivalents. Cash and cash equivalents consisted primarily of cash on deposit in U.S., German, Swiss, Japanese and Canadian banks. Cash and cash equivalents are stated at cost which approximates fair value.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The Company follows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establishes a fair value hierarchy for those instruments measured at fair value that distinguishes between assumptions based on market date (observable inputs) and the Company’s own assumptions (unobservable inputs). The hierarchy consists of three levels:</w:t>
      </w:r>
    </w:p>
    <w:p>
      <w:pPr>
        <w:spacing w:after="0" w:line="181" w:lineRule="exact"/>
        <w:rPr>
          <w:sz w:val="20"/>
          <w:szCs w:val="20"/>
          <w:color w:val="auto"/>
        </w:rPr>
      </w:pPr>
    </w:p>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w:t>
      </w:r>
    </w:p>
    <w:p>
      <w:pPr>
        <w:spacing w:after="0" w:line="252" w:lineRule="exact"/>
        <w:rPr>
          <w:rFonts w:ascii="Arial" w:cs="Arial" w:eastAsia="Arial" w:hAnsi="Arial"/>
          <w:sz w:val="18"/>
          <w:szCs w:val="18"/>
          <w:color w:val="auto"/>
        </w:rPr>
      </w:pPr>
    </w:p>
    <w:p>
      <w:pPr>
        <w:ind w:left="880" w:right="540" w:hanging="332"/>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197" w:lineRule="exact"/>
        <w:rPr>
          <w:rFonts w:ascii="Arial" w:cs="Arial" w:eastAsia="Arial" w:hAnsi="Arial"/>
          <w:sz w:val="18"/>
          <w:szCs w:val="18"/>
          <w:color w:val="auto"/>
        </w:rPr>
      </w:pPr>
    </w:p>
    <w:p>
      <w:pPr>
        <w:ind w:left="880" w:right="180" w:hanging="332"/>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At June 30, 2017 and December 31, 2016, the Company did not have any assets or liabilities that are measured at fair value on a recurring basis. The carrying amounts reflected in the balance sheets for cash and cash equivalents, prepaid expenses and other current assets, accounts payable, and accrued expenses approximate their fair values at June 30, 2017 and December 31, 2016, due to their short-term nature.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Property and equipment, which consists of land, construction in process, furniture and fixtures, computers and office equipment, scientific equipment, leasehold improvements, vehicles and building are stated at cost and depreciated over the estimated useful lives of the assets, with the exception of land and construction in process which are not depreciated, using the straight line method. The useful lives are as follows:</w:t>
      </w:r>
    </w:p>
    <w:p>
      <w:pPr>
        <w:sectPr>
          <w:pgSz w:w="11900" w:h="16838" w:orient="portrait"/>
          <w:cols w:equalWidth="0" w:num="1">
            <w:col w:w="11360"/>
          </w:cols>
          <w:pgMar w:left="240" w:top="688" w:right="299" w:bottom="1440" w:gutter="0" w:footer="0" w:header="0"/>
        </w:sectPr>
      </w:pPr>
    </w:p>
    <w:p>
      <w:pPr>
        <w:spacing w:after="0" w:line="38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Furniture and fixtures</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auto"/>
        </w:rPr>
        <w:t>7 years</w:t>
      </w:r>
    </w:p>
    <w:p>
      <w:pPr>
        <w:spacing w:after="0" w:line="211" w:lineRule="exact"/>
        <w:rPr>
          <w:sz w:val="20"/>
          <w:szCs w:val="20"/>
          <w:color w:val="auto"/>
        </w:rPr>
      </w:pPr>
    </w:p>
    <w:p>
      <w:pPr>
        <w:sectPr>
          <w:pgSz w:w="11900" w:h="16838" w:orient="portrait"/>
          <w:cols w:equalWidth="0" w:num="2">
            <w:col w:w="4200" w:space="720"/>
            <w:col w:w="6440"/>
          </w:cols>
          <w:pgMar w:left="240" w:top="688" w:right="29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Office equipment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200" w:space="720"/>
            <w:col w:w="6440"/>
          </w:cols>
          <w:pgMar w:left="240" w:top="688" w:right="29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Leasehold improvements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2680"/>
        <w:spacing w:after="0"/>
        <w:rPr>
          <w:sz w:val="20"/>
          <w:szCs w:val="20"/>
          <w:color w:val="auto"/>
        </w:rPr>
      </w:pPr>
      <w:r>
        <w:rPr>
          <w:rFonts w:ascii="Arial" w:cs="Arial" w:eastAsia="Arial" w:hAnsi="Arial"/>
          <w:sz w:val="16"/>
          <w:szCs w:val="16"/>
          <w:color w:val="auto"/>
        </w:rPr>
        <w:t>Shorter of asset’s useful life or remaining lease term</w:t>
      </w:r>
    </w:p>
    <w:p>
      <w:pPr>
        <w:spacing w:after="0" w:line="200" w:lineRule="exact"/>
        <w:rPr>
          <w:sz w:val="20"/>
          <w:szCs w:val="20"/>
          <w:color w:val="auto"/>
        </w:rPr>
      </w:pPr>
    </w:p>
    <w:p>
      <w:pPr>
        <w:sectPr>
          <w:pgSz w:w="11900" w:h="16838" w:orient="portrait"/>
          <w:cols w:equalWidth="0" w:num="2">
            <w:col w:w="4200" w:space="720"/>
            <w:col w:w="6440"/>
          </w:cols>
          <w:pgMar w:left="240" w:top="688" w:right="29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Scientific equipment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200" w:space="720"/>
            <w:col w:w="6440"/>
          </w:cols>
          <w:pgMar w:left="240" w:top="688" w:right="29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Vehicles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200" w:space="720"/>
            <w:col w:w="6440"/>
          </w:cols>
          <w:pgMar w:left="240" w:top="688" w:right="29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Building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39 years</w:t>
      </w:r>
    </w:p>
    <w:p>
      <w:pPr>
        <w:spacing w:after="0" w:line="222" w:lineRule="exact"/>
        <w:rPr>
          <w:sz w:val="20"/>
          <w:szCs w:val="20"/>
          <w:color w:val="auto"/>
        </w:rPr>
      </w:pPr>
    </w:p>
    <w:p>
      <w:pPr>
        <w:sectPr>
          <w:pgSz w:w="11900" w:h="16838" w:orient="portrait"/>
          <w:cols w:equalWidth="0" w:num="2">
            <w:col w:w="4200" w:space="720"/>
            <w:col w:w="6440"/>
          </w:cols>
          <w:pgMar w:left="240" w:top="688" w:right="299" w:bottom="1440" w:gutter="0" w:footer="0" w:header="0"/>
          <w:type w:val="continuous"/>
        </w:sectPr>
      </w:pPr>
    </w:p>
    <w:p>
      <w:pPr>
        <w:spacing w:after="0" w:line="3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The Company periodically evaluates its long-lived assets for potential impairment in accordance with ASC Topic 360,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Potential impairment is assessed when there is evidence that events or changes in circumstances indicate that the carrying amount of an asset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June 30,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Net loss per share (“EPS”) is computed by dividing net loss by the weighted average number of common shares outstanding during each period. Diluted EPS is computed by dividing net loss by the weighted average number of common shares and common share equivalents outstanding (if dilutive) during each period. The number of common share equivalents, which include stock options, is computed using the treasury stock method.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considered events or transactions occurring after the balance sheet date but prior to the date the consolidated financial statements are available to be issued for potential recognition or disclosure in its consolidated financial statements. We have evaluated subsequent events through the date of filing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February 2016, the FASB issued ASU No. 2016-02, “Leases.” ASU 2016-02 requires companies that lease assets to recognize a right-of-use asset and a lease liability, initially measured at the present value of the lease payments, in its balance sheet. The pronouncement will also require additional disclosures about the amount, timing and uncertainty of cash flows arising from leases. This pronouncement is effective for fiscal years, and interim periods within those years, beginning after December 15, 2018, and early adoption is permitted. Management is currently evaluating the impact of this pronouncement on XBiotech’s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13" w:name="page14"/>
    <w:bookmarkEnd w:id="13"/>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its Articles, the Company has an unlimited number of shares available for issuance with no par value.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January through December 2016, 204 thousand shares of common stock were issued upon the exercise of stock options at a price of $0.74 to $19.09 per share for total proceeds of $1.1 million.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November through December 2016, under the Common Stock Sales Agreement with H.C. Wainwright &amp; Co. LLC, the Company sold 145 thousand shares of common stock at a price between $13.60 to $14.17 per share for total proceeds of $1.8 million.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February 2017, under the Common Stock Sales Agreement with H.C. Wainwright &amp; Co. LLC, the Company sold 87 thousand shares of common stock at a price between $12.09 to $12.37 per share for total proceeds of $1.0 million.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2017, the Company sold 2.4 million shares of common stock for total proceeds of approximately $31.6 million from investors. Also, in March 2017, 66 thousand shares of common stock were issued upon the exercise of stock options at the price between $2.50 to $14.71 per share for total proceeds of $315 thousand.</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From April to June 2017, 204 thousand shares of common stock were issued upon the exercise of stock options at a price of $0.93 to $10 per share for a total of $454 thousand.</w:t>
      </w:r>
    </w:p>
    <w:p>
      <w:pPr>
        <w:spacing w:after="0" w:line="16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Options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On November 11, 2005 and April 1, 2015, the board of directors of the Company adopted stock option plans (“the Plans”) pursuant to which the Company may grant incentive stock options to directors, officers, employees or consultants of the Company or an affiliate or other persons as the Compensation Committee may approve.</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All options will be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an officer or employee of or consultant to the Company, or in the event of the termination of the participant with cause, the date of such termination. Options held by non-employee Directors have an exercise period coterminous with the term of the options.</w:t>
      </w:r>
    </w:p>
    <w:p>
      <w:pPr>
        <w:spacing w:after="0" w:line="18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number of common shares reserved for issuance to any one person pursuant to this Plan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changes in common stock options issued under the Plans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Weighted-Average</w:t>
            </w:r>
          </w:p>
        </w:tc>
        <w:tc>
          <w:tcPr>
            <w:tcW w:w="0" w:type="dxa"/>
            <w:vAlign w:val="bottom"/>
          </w:tcPr>
          <w:p>
            <w:pPr>
              <w:spacing w:after="0"/>
              <w:rPr>
                <w:sz w:val="1"/>
                <w:szCs w:val="1"/>
                <w:color w:val="auto"/>
              </w:rPr>
            </w:pPr>
          </w:p>
        </w:tc>
      </w:tr>
      <w:tr>
        <w:trPr>
          <w:trHeight w:val="234"/>
        </w:trPr>
        <w:tc>
          <w:tcPr>
            <w:tcW w:w="436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Options</w:t>
            </w: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Exercise Price</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2016</w:t>
            </w:r>
          </w:p>
        </w:tc>
        <w:tc>
          <w:tcPr>
            <w:tcW w:w="19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5,188,658</w:t>
            </w:r>
          </w:p>
        </w:tc>
        <w:tc>
          <w:tcPr>
            <w:tcW w:w="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$0.52</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$21.99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Granted</w:t>
            </w:r>
          </w:p>
        </w:tc>
        <w:tc>
          <w:tcPr>
            <w:tcW w:w="3800" w:type="dxa"/>
            <w:vAlign w:val="bottom"/>
            <w:gridSpan w:val="2"/>
          </w:tcPr>
          <w:p>
            <w:pPr>
              <w:jc w:val="right"/>
              <w:ind w:right="170"/>
              <w:spacing w:after="0"/>
              <w:rPr>
                <w:sz w:val="20"/>
                <w:szCs w:val="20"/>
                <w:color w:val="auto"/>
              </w:rPr>
            </w:pPr>
            <w:r>
              <w:rPr>
                <w:rFonts w:ascii="Arial" w:cs="Arial" w:eastAsia="Arial" w:hAnsi="Arial"/>
                <w:sz w:val="18"/>
                <w:szCs w:val="18"/>
                <w:color w:val="auto"/>
              </w:rPr>
              <w:t>880,000</w:t>
            </w:r>
          </w:p>
        </w:tc>
        <w:tc>
          <w:tcPr>
            <w:tcW w:w="680" w:type="dxa"/>
            <w:vAlign w:val="bottom"/>
          </w:tcPr>
          <w:p>
            <w:pPr>
              <w:jc w:val="center"/>
              <w:ind w:left="30"/>
              <w:spacing w:after="0"/>
              <w:rPr>
                <w:sz w:val="20"/>
                <w:szCs w:val="20"/>
                <w:color w:val="auto"/>
              </w:rPr>
            </w:pPr>
            <w:r>
              <w:rPr>
                <w:rFonts w:ascii="Arial" w:cs="Arial" w:eastAsia="Arial" w:hAnsi="Arial"/>
                <w:sz w:val="18"/>
                <w:szCs w:val="18"/>
                <w:color w:val="auto"/>
                <w:w w:val="91"/>
              </w:rPr>
              <w:t>4.24</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12.62</w:t>
            </w:r>
          </w:p>
        </w:tc>
        <w:tc>
          <w:tcPr>
            <w:tcW w:w="28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3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(387,167)</w:t>
            </w:r>
          </w:p>
        </w:tc>
        <w:tc>
          <w:tcPr>
            <w:tcW w:w="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0.93</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14.71</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Forfeitures</w:t>
            </w:r>
          </w:p>
        </w:tc>
        <w:tc>
          <w:tcPr>
            <w:tcW w:w="3800" w:type="dxa"/>
            <w:vAlign w:val="bottom"/>
            <w:gridSpan w:val="2"/>
          </w:tcPr>
          <w:p>
            <w:pPr>
              <w:jc w:val="right"/>
              <w:ind w:right="110"/>
              <w:spacing w:after="0"/>
              <w:rPr>
                <w:sz w:val="20"/>
                <w:szCs w:val="20"/>
                <w:color w:val="auto"/>
              </w:rPr>
            </w:pPr>
            <w:r>
              <w:rPr>
                <w:rFonts w:ascii="Arial" w:cs="Arial" w:eastAsia="Arial" w:hAnsi="Arial"/>
                <w:sz w:val="18"/>
                <w:szCs w:val="18"/>
                <w:color w:val="auto"/>
              </w:rPr>
              <w:t>(235,370)</w:t>
            </w:r>
          </w:p>
        </w:tc>
        <w:tc>
          <w:tcPr>
            <w:tcW w:w="680" w:type="dxa"/>
            <w:vAlign w:val="bottom"/>
          </w:tcPr>
          <w:p>
            <w:pPr>
              <w:jc w:val="center"/>
              <w:ind w:left="30"/>
              <w:spacing w:after="0"/>
              <w:rPr>
                <w:sz w:val="20"/>
                <w:szCs w:val="20"/>
                <w:color w:val="auto"/>
              </w:rPr>
            </w:pPr>
            <w:r>
              <w:rPr>
                <w:rFonts w:ascii="Arial" w:cs="Arial" w:eastAsia="Arial" w:hAnsi="Arial"/>
                <w:sz w:val="18"/>
                <w:szCs w:val="18"/>
                <w:color w:val="auto"/>
                <w:w w:val="91"/>
              </w:rPr>
              <w:t>0.94</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21.99</w:t>
            </w:r>
          </w:p>
        </w:tc>
        <w:tc>
          <w:tcPr>
            <w:tcW w:w="28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2017</w:t>
            </w: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18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5,446,121</w:t>
            </w:r>
          </w:p>
        </w:tc>
        <w:tc>
          <w:tcPr>
            <w:tcW w:w="680" w:type="dxa"/>
            <w:vAlign w:val="bottom"/>
            <w:tcBorders>
              <w:top w:val="single" w:sz="8" w:color="auto"/>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$0.94</w:t>
            </w:r>
          </w:p>
        </w:tc>
        <w:tc>
          <w:tcPr>
            <w:tcW w:w="2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$21.99</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920" w:type="dxa"/>
            <w:vAlign w:val="bottom"/>
            <w:vMerge w:val="restart"/>
          </w:tcPr>
          <w:p>
            <w:pPr>
              <w:jc w:val="right"/>
              <w:ind w:right="370"/>
              <w:spacing w:after="0"/>
              <w:rPr>
                <w:sz w:val="20"/>
                <w:szCs w:val="20"/>
                <w:color w:val="auto"/>
              </w:rPr>
            </w:pPr>
            <w:r>
              <w:rPr>
                <w:rFonts w:ascii="Arial" w:cs="Arial" w:eastAsia="Arial" w:hAnsi="Arial"/>
                <w:sz w:val="18"/>
                <w:szCs w:val="18"/>
                <w:color w:val="auto"/>
              </w:rPr>
              <w:t>14</w:t>
            </w:r>
          </w:p>
        </w:tc>
        <w:tc>
          <w:tcPr>
            <w:tcW w:w="1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360" w:type="dxa"/>
            <w:vAlign w:val="bottom"/>
            <w:shd w:val="clear" w:color="auto" w:fill="000000"/>
          </w:tcPr>
          <w:p>
            <w:pPr>
              <w:spacing w:after="0"/>
              <w:rPr>
                <w:sz w:val="5"/>
                <w:szCs w:val="5"/>
                <w:color w:val="auto"/>
              </w:rPr>
            </w:pPr>
          </w:p>
        </w:tc>
        <w:tc>
          <w:tcPr>
            <w:tcW w:w="1920" w:type="dxa"/>
            <w:vAlign w:val="bottom"/>
            <w:shd w:val="clear" w:color="auto" w:fill="000000"/>
          </w:tcPr>
          <w:p>
            <w:pPr>
              <w:spacing w:after="0"/>
              <w:rPr>
                <w:sz w:val="5"/>
                <w:szCs w:val="5"/>
                <w:color w:val="auto"/>
              </w:rPr>
            </w:pPr>
          </w:p>
        </w:tc>
        <w:tc>
          <w:tcPr>
            <w:tcW w:w="18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14" w:name="page15"/>
    <w:bookmarkEnd w:id="14"/>
    <w:p>
      <w:pPr>
        <w:ind w:right="440" w:firstLine="648"/>
        <w:spacing w:after="0" w:line="277" w:lineRule="auto"/>
        <w:rPr>
          <w:sz w:val="20"/>
          <w:szCs w:val="20"/>
          <w:color w:val="auto"/>
        </w:rPr>
      </w:pPr>
      <w:r>
        <w:rPr>
          <w:rFonts w:ascii="Arial" w:cs="Arial" w:eastAsia="Arial" w:hAnsi="Arial"/>
          <w:sz w:val="18"/>
          <w:szCs w:val="18"/>
          <w:color w:val="auto"/>
        </w:rPr>
        <w:t>As of June 30, 2017, there was approximately $3.5 million of unrecognized compensation cost, related to stock options granted under the Plans which will be amortized to stock compensation expense over the next 2.53 years.</w:t>
      </w:r>
    </w:p>
    <w:p>
      <w:pPr>
        <w:spacing w:after="0" w:line="166"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XBiotech Corporate officers, Queena Han (VP of Finance) and John Simard (President and CEO), XBiotech Inc., and certain directors were named defendants in securities class action civil suits filed in federal court at the U.S. District Court for the Western District of Texas, in Austin, Texas and state court at the Los Angeles County Superior Court, in California. In the California action, the underwriter WR Hambrecht &amp; Co., LLC was also named as a defendant. These civil suits were filed on December 1, 2015. The foundation for both suits are similar in that the plaintiffs allege the officers of the Company made false and misleading statements, violating the securities laws, in the IPO documents in April 2015. Specifically, these alleged false statements in the IPO documents are in relation to the European Phase III clinical trial for Xilonix™. The allegations focus on a press release posted by XBiotech on November 23, 2015, explaining certain issues with patient data. Plaintiffs allege the company knew of these issues during the IPO and neglected to disclose them in supporting documentation filed with the Security and Exchange Commission (SEC). As a result of the news release, XBiotech (traded on the NASDAQ) stock declined. The resulting securities class action lawsuits are seeking relief for plaintiffs who report financial losses due to the alleged false and misleading statements. In September 2016, a stay was granted in the California case. Plaintiffs were, at that time, left with the opportunity to re-file in Texas prior to the decision on the motion to dismiss. Plaintiffs did not re-file in Texas before the case was dismissed with prejudice in October 2016. Plaintiffs sought to re-open the case in California. A hearing to address whether the case should be dismissed, was scheduled June 7, 2017. At the hearing, counsel for XBiotech argued that California was a forum non conveniens given the nexus of the allegations in the suit took place in Texas. The judge granted the forum non conveniens motion, finding that the case does not belong in California. As a result, the case is stayed rather than dismissed per California procedural rules. Plaintiffs were compelled to re-file in Texas.</w:t>
      </w:r>
    </w:p>
    <w:p>
      <w:pPr>
        <w:spacing w:after="0" w:line="18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 status conference on the California case is tentatively scheduled for January 2018. Meanwhile, the plaintiffs re-filed their suit in Travis County district court, located in Austin, Texas, on July 6, 2017. A hearing date has yet to be scheduled in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spacing w:after="0"/>
        <w:tabs>
          <w:tab w:leader="none" w:pos="1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ind w:right="2060"/>
        <w:spacing w:after="0" w:line="503"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Overview</w:t>
      </w:r>
    </w:p>
    <w:p>
      <w:pPr>
        <w:spacing w:after="0" w:line="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XBiotech is focused on developing its True Human™ pipeline and manufacturing system.</w:t>
      </w:r>
    </w:p>
    <w:p>
      <w:pPr>
        <w:spacing w:after="0" w:line="154"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We have never been profitable and, as of June 30, 2017, we had an accumulated deficit of $203.1 million. We had net losses of $9.1 million and $19.7 million for the three months and six months ended June 30, 2017, respectively, compared to $13.6 million and $23.9 million for the three months and six months ended June 30, 2016, respectively. We expect to incur significant operating losses for the foreseeable future as we advance our drug candidates from discovery through preclinical testing and clinical trials and seek regulatory approval and eventual commercialization. In addition to these increasing research and development expenses, we expect general and administrative costs to increase as we continue to operate as a public company. We will need to generate significant revenues to achieve profitability, and we may never do so. As of June 30, 2017, we had 60 employees compared to 103 as of March 31, 2017. This decrease was due to a re-orgainization of the Company that occurred following the recent material events surrounding the Phase 3 oncology studies.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Regulatory Developments</w:t>
      </w:r>
    </w:p>
    <w:p>
      <w:pPr>
        <w:spacing w:after="0" w:line="229"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The Company’s Phase III symptomatic colorectal cancer study has been completed and XBiotech proceeded with the submission of a Marketing Authorization Application (MAA) to the European Medicines Agency (EMA) in March 2016. In May 2017, the Company announced that it received a negative opinion from the EMA’s Committee for Medicinal Products for Human Use (“CHMP”) for the MAA in Europe. XBiotech is proceeding with the EMA’s re-examination procedure in which new Rapporteurs will be assigned to reevaluate the initial opinion. The Company has retained European counsel and regulatory specialists in Europe to manage the re-examination process, who is following the standard protocol and timetable set by the EMA.</w:t>
      </w:r>
    </w:p>
    <w:p>
      <w:pPr>
        <w:spacing w:after="0" w:line="15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June 2017 XBiotech reported discontinuation of its second Phase III study, a double-blind placebo controlled study for improving survival in metastatic colorectal cancer, following the Independent Data Monitoring Committee’s (IDMC) second prospectively planned, unblinded interim analysis at 75% of events in the study. The IDMC had no safety concerns from the unblinded analysis. However, the committee recommended the early termination of the study since the findings were not sufficient to meet efficacy or the threshold for continuation, which involved a prospectively defined acceptance boundary for the interim analysis. XBiotech is currently conducting full data analyses, as stratification of the data may identify subpopulations that benefited from therapy.</w:t>
      </w:r>
    </w:p>
    <w:p>
      <w:pPr>
        <w:spacing w:after="0" w:line="19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Based on the positive, top-line results announced earlier this year in two Phase II studies, one which evaluated MABp1 for the treatment of Hidradenitis Suppurativa and one using the Company’s proprietary 514G3 True Human antibody for the treatment of </w:t>
      </w:r>
      <w:r>
        <w:rPr>
          <w:rFonts w:ascii="Arial" w:cs="Arial" w:eastAsia="Arial" w:hAnsi="Arial"/>
          <w:sz w:val="18"/>
          <w:szCs w:val="18"/>
          <w:i w:val="1"/>
          <w:iCs w:val="1"/>
          <w:color w:val="auto"/>
        </w:rPr>
        <w:t>Staphylococcus aureus</w:t>
      </w:r>
      <w:r>
        <w:rPr>
          <w:rFonts w:ascii="Arial" w:cs="Arial" w:eastAsia="Arial" w:hAnsi="Arial"/>
          <w:sz w:val="18"/>
          <w:szCs w:val="18"/>
          <w:color w:val="auto"/>
        </w:rPr>
        <w:t xml:space="preserve"> bloodstream infections, plans for advanced studies in these indications is on-going. We are seeking end of Phase 2 meetings with the FDA to help guide the development of special protocol asssessments (SPA), which are submitted to the FDA to enable better agreement on what will be sufficient data to seek product registration.</w:t>
      </w:r>
    </w:p>
    <w:p>
      <w:pPr>
        <w:spacing w:after="0" w:line="18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 continues to be subject to a number of risks common to companies in similar stages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clinical trials, is expected to depend on the amount and timing of cash receipts from future collaboration or product sales and/or financing transactions. The Company believes that its cash and cash equivalents of $45.9 million at June 30, 2017 will enable the Company to achieve several major inflection points, including potential marketing authorization in Europe depending on the outcome of the re-examination procedure, advanced clinical studies in certain indication(s), as well as on-going R&amp;D efforts for the Company’s pre-clinical pipeline. Based on our research and development plans and our timing expectations related to the progress of our programs, we expect that our cash and cash equivalents as of June 30, 2017 will enable us to fund our operating expenses and capital expenditure requirements through 2018. We have based this estimate on assumptions that may prove to be wrong, and we could utilize our available capital resources sooner than we currently expect.</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To date, we have not generated any revenue. Our ability to generate revenue and become profitable depends on our ability to successfully commercialize our lead product candidate, Xilonix™, or any other product candidate we may advance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 consists of expenses incurred in connection with identifying and developing our drug candidates. These expenses consist primarily of salaries and related expenses, stock-based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operations as incurred.</w:t>
      </w:r>
    </w:p>
    <w:p>
      <w:pPr>
        <w:spacing w:after="0" w:line="187"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June 30, 2017, we have recorded total research and development expenses, including share-based compensation, of $159.2 million. Our total research and development expenses for the three months and six months ended June 30, 2017 were $7.4 million and $15.6 million, respectively, compared to $11.2 million and $19.0 million for the three months and six months ended June 30, 2016, respectively. Share-based compensation accounted for ($0.3) million and $21 thousand for the three months and six months ended June 30, 2017, respectively, compared to $0.6 million and $1.2 million for the three months and six months ended June 30, 2016, respectively.</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Research and development expenses, as a percentage of total operating expenses for the three months and six months ended June 30, 2017 were 76% and 78%, respectively, compared to 82% and 80% for the three months and six months ended June 30, 2016, respectively. The percentages,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stock-based compensation, for the three months and six months ended June 30, 2017 were 87% and 85%, respectively, compared to 88% and 87% for the three months and six months ended June 30, 2016, respectively.</w:t>
      </w:r>
    </w:p>
    <w:p>
      <w:pPr>
        <w:spacing w:after="0" w:line="18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clinical research and development costs may decrease going forward with the completion of all clinical studies to date. Although, expenses could increase due to potential marketing approval of our lead product candidate in Europe based on the outcome of the re-examination procedure and related commercialization costs, as well as, the potential of pursuing advanced clinical studies in various indications.</w:t>
      </w:r>
    </w:p>
    <w:p>
      <w:pPr>
        <w:spacing w:after="0" w:line="16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Based on the results of our preclinical studies, we anticipate that we will select drug candidates and research projects for further development on an ongoing basis in response to their preclinical and clinical success and commercial potential. For research and development candidates in early stages of development, it is premature to estimate when material net cash inflows from these projects might occur.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stock–based compensation, and professional fees for legal services. Our total general and administration expenses for the three months and six months ended June 30, 2017 were $2.3 million and $4.4 million, respectively, compared to $2.4 million and $4.8 million for the three months and six months ended June 30, 2016, respectively. Share-based compensation accounted for $1.2 million and $1.6 million for the three months and six months ended June 30, 2017, respectively, compared to $0.5 million and $1.7 million for the three months and six months ended June 30, 2016, respectively.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7" w:name="page18"/>
    <w:bookmarkEnd w:id="17"/>
    <w:p>
      <w:pPr>
        <w:ind w:right="20" w:firstLine="648"/>
        <w:spacing w:after="0" w:line="259" w:lineRule="auto"/>
        <w:rPr>
          <w:sz w:val="20"/>
          <w:szCs w:val="20"/>
          <w:color w:val="auto"/>
        </w:rPr>
      </w:pPr>
      <w:r>
        <w:rPr>
          <w:rFonts w:ascii="Arial" w:cs="Arial" w:eastAsia="Arial" w:hAnsi="Arial"/>
          <w:sz w:val="18"/>
          <w:szCs w:val="18"/>
          <w:color w:val="auto"/>
        </w:rPr>
        <w:t xml:space="preserve">General and administrative expenses, as a percentage of total operating expenses for the three months and six months ended June 30, 2017 were 24% and 22%, respectively, compared to 18% and 20% for the three months and six months ended June 30, 2016, respectively. The percentages,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stock-based compensation, for the three months and six months ended June 30, 2017 were 13% and 15%, respectively, compared to 15% and 15% for the three months and six months ended June 30, 2016,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us to make judgments, estimates and assumptions in the preparation of our consolidated financial statements and accompanying notes. Actual results could differ from those estimates. We believe there have been no significant changes in our critical accounting policies as discussed in our Annual Report on Form 10-K for the year ended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record any revenue during the three months and six months ended June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33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18"/>
                <w:szCs w:val="18"/>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b w:val="1"/>
                <w:bCs w:val="1"/>
                <w:color w:val="auto"/>
              </w:rPr>
              <w:t>Increase</w:t>
            </w: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45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(Decrease)</w:t>
            </w:r>
          </w:p>
        </w:tc>
        <w:tc>
          <w:tcPr>
            <w:tcW w:w="1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1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1,770</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112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780</w:t>
            </w:r>
          </w:p>
        </w:tc>
        <w:tc>
          <w:tcPr>
            <w:tcW w:w="4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2,762</w:t>
            </w:r>
          </w:p>
        </w:tc>
        <w:tc>
          <w:tcPr>
            <w:tcW w:w="340" w:type="dxa"/>
            <w:vAlign w:val="bottom"/>
          </w:tcPr>
          <w:p>
            <w:pPr>
              <w:spacing w:after="0"/>
              <w:rPr>
                <w:sz w:val="18"/>
                <w:szCs w:val="18"/>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(1,982)</w:t>
            </w:r>
          </w:p>
        </w:tc>
        <w:tc>
          <w:tcPr>
            <w:tcW w:w="1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3,785</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4,657</w:t>
            </w: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(872)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w:t>
            </w:r>
          </w:p>
        </w:tc>
        <w:tc>
          <w:tcPr>
            <w:tcW w:w="4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587</w:t>
            </w:r>
          </w:p>
        </w:tc>
        <w:tc>
          <w:tcPr>
            <w:tcW w:w="340" w:type="dxa"/>
            <w:vAlign w:val="bottom"/>
          </w:tcPr>
          <w:p>
            <w:pPr>
              <w:spacing w:after="0"/>
              <w:rPr>
                <w:sz w:val="18"/>
                <w:szCs w:val="18"/>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(860)</w:t>
            </w:r>
          </w:p>
        </w:tc>
        <w:tc>
          <w:tcPr>
            <w:tcW w:w="15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1,337</w:t>
            </w: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1,230</w:t>
            </w:r>
          </w:p>
        </w:tc>
        <w:tc>
          <w:tcPr>
            <w:tcW w:w="3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108</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4"/>
        </w:trPr>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7,399</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11,216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(3,817)</w:t>
            </w:r>
          </w:p>
        </w:tc>
        <w:tc>
          <w:tcPr>
            <w:tcW w:w="156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33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340" w:type="dxa"/>
            <w:vAlign w:val="bottom"/>
          </w:tcPr>
          <w:p>
            <w:pPr>
              <w:spacing w:after="0"/>
              <w:rPr>
                <w:sz w:val="18"/>
                <w:szCs w:val="18"/>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b w:val="1"/>
                <w:bCs w:val="1"/>
                <w:color w:val="auto"/>
              </w:rPr>
              <w:t>Increase</w:t>
            </w: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45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(Decrease)</w:t>
            </w:r>
          </w:p>
        </w:tc>
        <w:tc>
          <w:tcPr>
            <w:tcW w:w="1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0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3,983</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3,837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10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2,012</w:t>
            </w:r>
          </w:p>
        </w:tc>
        <w:tc>
          <w:tcPr>
            <w:tcW w:w="4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3,538</w:t>
            </w:r>
          </w:p>
        </w:tc>
        <w:tc>
          <w:tcPr>
            <w:tcW w:w="340" w:type="dxa"/>
            <w:vAlign w:val="bottom"/>
          </w:tcPr>
          <w:p>
            <w:pPr>
              <w:spacing w:after="0"/>
              <w:rPr>
                <w:sz w:val="18"/>
                <w:szCs w:val="18"/>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(1,526)</w:t>
            </w: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6,941</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8,313</w:t>
            </w: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(1,372)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1,184</w:t>
            </w:r>
          </w:p>
        </w:tc>
        <w:tc>
          <w:tcPr>
            <w:tcW w:w="340" w:type="dxa"/>
            <w:vAlign w:val="bottom"/>
          </w:tcPr>
          <w:p>
            <w:pPr>
              <w:spacing w:after="0"/>
              <w:rPr>
                <w:sz w:val="18"/>
                <w:szCs w:val="18"/>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(1,163)</w:t>
            </w:r>
          </w:p>
        </w:tc>
        <w:tc>
          <w:tcPr>
            <w:tcW w:w="15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2,630</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2,156</w:t>
            </w:r>
          </w:p>
        </w:tc>
        <w:tc>
          <w:tcPr>
            <w:tcW w:w="3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474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4"/>
        </w:trPr>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15,587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19,028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(3,441)</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8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ind w:right="40" w:firstLine="648"/>
        <w:spacing w:after="0" w:line="264" w:lineRule="auto"/>
        <w:rPr>
          <w:sz w:val="20"/>
          <w:szCs w:val="20"/>
          <w:color w:val="auto"/>
        </w:rPr>
      </w:pPr>
      <w:r>
        <w:rPr>
          <w:rFonts w:ascii="Arial" w:cs="Arial" w:eastAsia="Arial" w:hAnsi="Arial"/>
          <w:sz w:val="18"/>
          <w:szCs w:val="18"/>
          <w:color w:val="auto"/>
        </w:rPr>
        <w:t>Research and development expenses decreased by 34% to $7.4 million for the three months ended June 30, 2017 compared to $11.2 million for the three months ended June 30, 2016. Research and development expenses decreased by 18% to $15.6 million for the six months ended June 30, 2017 compared to $19.0 million for the six months ended June 30, 2016.</w:t>
      </w:r>
    </w:p>
    <w:p>
      <w:pPr>
        <w:spacing w:after="0" w:line="18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three month decrease in research and development expenses was mainly due to a $2.0 million decrease in laboratory and manufacturing supplies expense, due to a reduction in clinical trial drug manufacturing. In addition there was a decrease in clinical trials and sponsored research expense due to the slow down of a global trial. Stock-based compensation expenses also decreased due to the forfeiture of terminated employees’ stock option.</w:t>
      </w:r>
    </w:p>
    <w:p>
      <w:pPr>
        <w:spacing w:after="0" w:line="147" w:lineRule="exact"/>
        <w:rPr>
          <w:sz w:val="20"/>
          <w:szCs w:val="20"/>
          <w:color w:val="auto"/>
        </w:rPr>
      </w:pPr>
    </w:p>
    <w:p>
      <w:pPr>
        <w:ind w:right="560" w:firstLine="648"/>
        <w:spacing w:after="0" w:line="286" w:lineRule="auto"/>
        <w:rPr>
          <w:sz w:val="20"/>
          <w:szCs w:val="20"/>
          <w:color w:val="auto"/>
        </w:rPr>
      </w:pPr>
      <w:r>
        <w:rPr>
          <w:rFonts w:ascii="Arial" w:cs="Arial" w:eastAsia="Arial" w:hAnsi="Arial"/>
          <w:sz w:val="17"/>
          <w:szCs w:val="17"/>
          <w:color w:val="auto"/>
        </w:rPr>
        <w:t>Compared to the six months ended June 30, 2016, the research and development expense decrease in the six months ended June 30, 2017 was primarily caused by the decrease in laboratory and manufacturing supplies expense. The clinical trials and sponsored research expense decrease was principally due to the reduced expense accrual and as a result of the slow down of a global trial.</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and administrative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33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18"/>
                <w:szCs w:val="18"/>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b w:val="1"/>
                <w:bCs w:val="1"/>
                <w:color w:val="auto"/>
              </w:rPr>
              <w:t>Increase</w:t>
            </w: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45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(Decrease)</w:t>
            </w:r>
          </w:p>
        </w:tc>
        <w:tc>
          <w:tcPr>
            <w:tcW w:w="1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1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Patent filing expense</w:t>
            </w:r>
          </w:p>
        </w:tc>
        <w:tc>
          <w:tcPr>
            <w:tcW w:w="11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4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18"/>
                <w:szCs w:val="18"/>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(36)</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1,171</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511</w:t>
            </w: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660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Professional fees</w:t>
            </w:r>
          </w:p>
        </w:tc>
        <w:tc>
          <w:tcPr>
            <w:tcW w:w="11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768</w:t>
            </w:r>
          </w:p>
        </w:tc>
        <w:tc>
          <w:tcPr>
            <w:tcW w:w="340" w:type="dxa"/>
            <w:vAlign w:val="bottom"/>
          </w:tcPr>
          <w:p>
            <w:pPr>
              <w:spacing w:after="0"/>
              <w:rPr>
                <w:sz w:val="18"/>
                <w:szCs w:val="18"/>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(456)</w:t>
            </w:r>
          </w:p>
        </w:tc>
        <w:tc>
          <w:tcPr>
            <w:tcW w:w="1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527</w:t>
            </w:r>
          </w:p>
        </w:tc>
        <w:tc>
          <w:tcPr>
            <w:tcW w:w="3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(189)</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4"/>
        </w:trPr>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2,289</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2,399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(110)</w:t>
            </w: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8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b w:val="1"/>
                <w:bCs w:val="1"/>
                <w:color w:val="auto"/>
              </w:rPr>
              <w:t>Increase</w:t>
            </w: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45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(Decrease)</w:t>
            </w:r>
          </w:p>
        </w:tc>
        <w:tc>
          <w:tcPr>
            <w:tcW w:w="1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1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w:t>
            </w:r>
          </w:p>
        </w:tc>
        <w:tc>
          <w:tcPr>
            <w:tcW w:w="11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Patent filing expense</w:t>
            </w:r>
          </w:p>
        </w:tc>
        <w:tc>
          <w:tcPr>
            <w:tcW w:w="11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114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340" w:type="dxa"/>
            <w:vAlign w:val="bottom"/>
          </w:tcPr>
          <w:p>
            <w:pPr>
              <w:spacing w:after="0"/>
              <w:rPr>
                <w:sz w:val="18"/>
                <w:szCs w:val="18"/>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1,601</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1,730</w:t>
            </w: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Professional fees</w:t>
            </w:r>
          </w:p>
        </w:tc>
        <w:tc>
          <w:tcPr>
            <w:tcW w:w="11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114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860</w:t>
            </w:r>
          </w:p>
        </w:tc>
        <w:tc>
          <w:tcPr>
            <w:tcW w:w="340" w:type="dxa"/>
            <w:vAlign w:val="bottom"/>
          </w:tcPr>
          <w:p>
            <w:pPr>
              <w:spacing w:after="0"/>
              <w:rPr>
                <w:sz w:val="18"/>
                <w:szCs w:val="18"/>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(132)</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921</w:t>
            </w:r>
          </w:p>
        </w:tc>
        <w:tc>
          <w:tcPr>
            <w:tcW w:w="1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979</w:t>
            </w:r>
          </w:p>
        </w:tc>
        <w:tc>
          <w:tcPr>
            <w:tcW w:w="3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(58)</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4"/>
        </w:trPr>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4,372</w:t>
            </w:r>
          </w:p>
        </w:tc>
        <w:tc>
          <w:tcPr>
            <w:tcW w:w="11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4,835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(463)</w:t>
            </w: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General and administrative expenses decreased by 5% to $2.3 million for the three months ended June 30, 2017 compared to $2.4 million for the three months ended June 30, 2016. General and administrative expenses decreased by 10% to $4.4 million for the six months ended June 30, 2017 compared to $4.8 million for the six months ended June 30, 2016.</w:t>
      </w:r>
    </w:p>
    <w:p>
      <w:pPr>
        <w:spacing w:after="0" w:line="18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three months decrease was primarily related to a $0.5 million decrease in public relations fees and legal fees. Other expenses also decreased including travel and recruiting activities. Stock-based compensation increased $0.7 million due to the repurchase of stock options from a certain individual.</w:t>
      </w:r>
    </w:p>
    <w:p>
      <w:pPr>
        <w:spacing w:after="0" w:line="12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six months decrease was principally due to the decrease in stock-based compensation, the reduction of our workforce and the public relations fees. The decrease in stock-based compensation is due to the grant of stock options to board members in 2016 Q1 that were immediately vested. Labor costs also decreased due to the reduction of our general and administrative workforce from 11 to 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other income (loss) (in thousands):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30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34"/>
        </w:trPr>
        <w:tc>
          <w:tcPr>
            <w:tcW w:w="458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exchange gain (loss)</w:t>
            </w:r>
          </w:p>
        </w:tc>
        <w:tc>
          <w:tcPr>
            <w:tcW w:w="1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441</w:t>
            </w: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555</w:t>
            </w:r>
          </w:p>
        </w:tc>
        <w:tc>
          <w:tcPr>
            <w:tcW w:w="13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263</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4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interest income for the three months and six months ended June 30, 2017 is mainly from the interest generated from our Canadian bank account.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gain was mainly due to the fluctuation of the exchange rate between Euro and US dollar.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Our cash requirements could change materially as a result of the progress of our research and development and clinical programs, licensing activities, acquisitions, divestitures or other corporate developments.</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Since our inception on March 22, 2005 through June 30, 2017, we have funded our operations principally through public offerings and private placements of equity securities, which have provided aggregate cash proceeds of approximately $289.9 million. The following table summarizes our sources and uses of cash (in thousands):</w:t>
      </w:r>
    </w:p>
    <w:p>
      <w:pPr>
        <w:sectPr>
          <w:pgSz w:w="11900" w:h="16838" w:orient="portrait"/>
          <w:cols w:equalWidth="0" w:num="1">
            <w:col w:w="11420"/>
          </w:cols>
          <w:pgMar w:left="240" w:top="688" w:right="239" w:bottom="1440" w:gutter="0" w:footer="0" w:header="0"/>
        </w:sect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provided 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2920"/>
        <w:spacing w:after="0" w:line="276" w:lineRule="auto"/>
        <w:rPr>
          <w:sz w:val="20"/>
          <w:szCs w:val="20"/>
          <w:color w:val="auto"/>
        </w:rPr>
      </w:pPr>
      <w:r>
        <w:rPr>
          <w:rFonts w:ascii="Arial" w:cs="Arial" w:eastAsia="Arial" w:hAnsi="Arial"/>
          <w:sz w:val="18"/>
          <w:szCs w:val="18"/>
          <w:color w:val="auto"/>
        </w:rPr>
        <w:t>Effect of foreign exchange rate on cash and cash equivalents 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29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Six Months Ended June 30,</w:t>
            </w:r>
          </w:p>
        </w:tc>
      </w:tr>
      <w:tr>
        <w:trPr>
          <w:trHeight w:val="234"/>
        </w:trPr>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195"/>
        </w:trPr>
        <w:tc>
          <w:tcPr>
            <w:tcW w:w="4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(20,376)</w:t>
            </w:r>
          </w:p>
        </w:tc>
        <w:tc>
          <w:tcPr>
            <w:tcW w:w="42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(18,198)</w:t>
            </w:r>
          </w:p>
        </w:tc>
      </w:tr>
      <w:tr>
        <w:trPr>
          <w:trHeight w:val="216"/>
        </w:trPr>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(890)</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(8,774)</w:t>
            </w:r>
          </w:p>
        </w:tc>
      </w:tr>
      <w:tr>
        <w:trPr>
          <w:trHeight w:val="230"/>
        </w:trPr>
        <w:tc>
          <w:tcPr>
            <w:tcW w:w="46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33,274</w:t>
            </w:r>
          </w:p>
        </w:tc>
        <w:tc>
          <w:tcPr>
            <w:tcW w:w="4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707</w:t>
            </w:r>
          </w:p>
        </w:tc>
      </w:tr>
      <w:tr>
        <w:trPr>
          <w:trHeight w:val="230"/>
        </w:trPr>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23"/>
        </w:trPr>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11,625</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(26,253)</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420"/>
          </w:cols>
          <w:pgMar w:left="240" w:top="688" w:right="239" w:bottom="1440" w:gutter="0" w:footer="0" w:header="0"/>
          <w:type w:val="continuous"/>
        </w:sectPr>
      </w:pPr>
    </w:p>
    <w:p>
      <w:pPr>
        <w:spacing w:after="0" w:line="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During the six months ended June 30, 2017 and 2016, our operating activities used net cash of $20.4 million and $18.2 million, respectively. The use of net cash in each of these periods primarily resulted from our net losses. The net loss from operations for the six months ended June 30, 2017 as compared to the six months ended June 30, 2016 decreased, but the prepayment for clinical trial and payment for bills related to previous period expense increased the cash used.</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During the six months ended June 30, 2017 and 2016, our investing activities used net cash of $0.9 million and $8.7 million, respectively. The use of cash during the six months ended June 30, 2017 was for the purchase of new research and development equipment. We spent approximately $8.8 million on the construction of new facilities during the six months ended June 30, 2016.</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During the six months ended June 30, 2017 and 2016, our financing activities provided net cash proceeds of $33.3 million and $0.7 million, respectively. During the six months ended June 30, 2017, we entered into subscription agreements with accredited investors, and sold 2.4 million common shares at $13 per share for approximately $31.6 million in net proceeds. Also, we sold 87 thousand shares under a Common Stock Sales Agreement with H.C. Wainwright &amp; Co. LLC for net proceeds of approximately $1.0 million. Employees exercised stock options to purchase a total of 271 thousand shares of common stock for a total of approximately $0.8 million in net proceeds. During the six months ended June 30, 2016, employees exercised stock options to purchase a total of 150 thousand shares of common stock for a total of approximately $0.7 million in net proceeds.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20" w:name="page21"/>
    <w:bookmarkEnd w:id="20"/>
    <w:p>
      <w:pPr>
        <w:ind w:right="200" w:firstLine="648"/>
        <w:spacing w:after="0" w:line="286" w:lineRule="auto"/>
        <w:rPr>
          <w:sz w:val="20"/>
          <w:szCs w:val="20"/>
          <w:color w:val="auto"/>
        </w:rPr>
      </w:pPr>
      <w:r>
        <w:rPr>
          <w:rFonts w:ascii="Arial" w:cs="Arial" w:eastAsia="Arial" w:hAnsi="Arial"/>
          <w:sz w:val="17"/>
          <w:szCs w:val="17"/>
          <w:color w:val="auto"/>
        </w:rPr>
        <w:t>We expect to continue to incur substantial operating losses in the future. We will not receive any product revenue until a drug candidate has been approved by the Food and Drug Administration or similar regulatory agencies in other countries and successfully commercialized. As of June 30, 2017, our principal sources of liquidity were our cash and cash equivalents, which totaled approximately $45.9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On January 12, 2008, we entered a lease agreement to lease our facility in Austin, Texas. On September 15, 2010, we entered into a second lease agreement to lease additional space in Austin, Texas. On March 20, 2014, we extended the lease for an additional 21 months on the same terms and rental rates as the current lease. On February 28, 2016, we extended the lease for another 4 years. The future minimum lease payments are as follows as of June 30, 2017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Less than</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Contractual Obligations</w:t>
            </w:r>
          </w:p>
        </w:tc>
        <w:tc>
          <w:tcPr>
            <w:tcW w:w="4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 Year</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1 - 3 Years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More than 3 years</w:t>
            </w:r>
          </w:p>
        </w:tc>
      </w:tr>
      <w:tr>
        <w:trPr>
          <w:trHeight w:val="22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facility leases</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780</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780</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465</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was $186 thousand and $180 thousand for the three months ended June 30, 2017 and 2016,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Since inception, we have not engaged in any off-balance sheet activities, including the use of structured finance, special purpose entities or variable interest entities.</w:t>
      </w:r>
    </w:p>
    <w:p>
      <w:pPr>
        <w:spacing w:after="0" w:line="166"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of Market Risks</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Company is not currently exposed to material market risk arising from financial instruments, changes in interest rates or commodity prices, or fluctuations in foreign currencies. The Company has no need to hedge against any of the foregoing risks and therefore currently engages in no hedging activities.</w:t>
      </w:r>
    </w:p>
    <w:p>
      <w:pPr>
        <w:spacing w:after="0" w:line="17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As of the end of the period covered by this Quarterly Report on Form 10-Q,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second quarter of the year ended December 31, 2017 that has materially affected, or is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80"/>
          </w:cols>
          <w:pgMar w:left="240" w:top="688" w:right="479" w:bottom="1440" w:gutter="0" w:footer="0" w:header="0"/>
        </w:sectPr>
      </w:pPr>
    </w:p>
    <w:bookmarkStart w:id="22" w:name="page23"/>
    <w:bookmarkEnd w:id="22"/>
    <w:p>
      <w:pPr>
        <w:ind w:left="45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December 1, 2015, a purported securities class action complaint captioned Yogina Rezko v. XBiotech Inc., John Simard, Queena Han and WR Hambrecht &amp; Co., LLC was filed against us, certain of our officers and directors and the underwriter for our initial public offering in the Superior Court for the State of California, Los Angeles County. On December 2, 2015, a purported securities class action complaint captioned Linh Tran v. XBiotech Inc., John Simard and Queena Han was filed against us and certain of our officers and directors in U.S. District Court for the Western District of Texas. The lawsuits are based on substantially similar factual allegations and purport to be class actions brought on behalf of purchasers of the Company's securities during the period from April 15, 2015 through November 23, 2015. The complaint filed in California state court alleges that the defendants violated the Securities Act of 1933, as amended (the "Securities Act"), and the complaint filed in federal court alleges that the defendants violated the Securities Exchange Act of 1934, as amended (the "Exchange Act"), in each case by making materially false and misleading statements concerning the Company's Phase III clinical trial conducted in Europe to assess Xilonix™ as a treatment for colorectal cancer. The California complaint purports to assert claims for violations of Sections 11, 12(a)(2) and 15 of the Securities Act, and the federal complaint purports to assert claims for violation of Sections 10(b) and 20(a) of the Exchange Act and Rule 10b-5 promulgated thereunder. Both complaints seek, on behalf of the purported class, an unspecified amount of monetary damages, interest, fees and expenses of attorneys and experts, and other relief.</w:t>
      </w:r>
    </w:p>
    <w:p>
      <w:pPr>
        <w:spacing w:after="0" w:line="18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September 2016, a stay was granted at the Superior Court for the State of California, Los Angeles County, in Yogina Rezko v. XBiotech Inc., John Simard, Queena Han and WR Hambrecht &amp; Co., LLC, in light of the ongoing case, Linh Tran v. XBiotech Inc., John Simard and Queena Han, in the U.S. District Court for the Western District of Texas, leaving plaintiffs with an opportunity re-file a complaint in Texas. In October 2016, the Texas securities class action lawsuit was dismissed with prejudice. At the June 7, 2017 hearing at the Superior Court for the State of California, Los Angeles County, we were granted a motion on the grounds of forum non conveniens. The judge ruled that the case belonged in Texas, not in California. The case is nevertheless stayed, due to California procedural rules, and not dismissed. A status conference is tentatively scheduled for January 2018.</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July 6, 2017, plaintiffs proceeded to re-file in Travis County district court (located in Austin, Texas). A hearing date has yet to be scheduled. We are unable to estimate the outcome of the Texas state court matter or the resulting financial impact to us, if 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There have been no material changes to the risk factors included in our Annual Report on Form 10-K for the year ended December 31, 2016. Please carefully consider the information set forth in this Quarterly Report on Form 10-Q and the risk factors discussed in Part I, “Item 1A. Risk Factors” in our Annual Report on Form 10-K for the year ended December 31, 2016,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7759"/>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779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5480" w:type="dxa"/>
            <w:vAlign w:val="bottom"/>
            <w:gridSpan w:val="3"/>
          </w:tcPr>
          <w:p>
            <w:pPr>
              <w:ind w:left="500"/>
              <w:spacing w:after="0"/>
              <w:rPr>
                <w:rFonts w:ascii="Arial" w:cs="Arial" w:eastAsia="Arial" w:hAnsi="Arial"/>
                <w:sz w:val="18"/>
                <w:szCs w:val="18"/>
                <w:color w:val="0000EE"/>
              </w:rPr>
            </w:pPr>
            <w:hyperlink w:anchor="page27">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5940" w:type="dxa"/>
            <w:vAlign w:val="bottom"/>
            <w:gridSpan w:val="6"/>
          </w:tcPr>
          <w:p>
            <w:pPr>
              <w:ind w:left="480"/>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Certification of Principal Executive Officer Required Under Rule 13a-14(a)</w:t>
              </w:r>
            </w:hyperlink>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5940" w:type="dxa"/>
            <w:vAlign w:val="bottom"/>
            <w:gridSpan w:val="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and 15d-14(a) of the Securities Exchange Act of 1934, as amended.</w:t>
              </w:r>
            </w:hyperlink>
          </w:p>
        </w:tc>
      </w:tr>
      <w:tr>
        <w:trPr>
          <w:trHeight w:val="20"/>
        </w:trPr>
        <w:tc>
          <w:tcPr>
            <w:tcW w:w="5480" w:type="dxa"/>
            <w:vAlign w:val="bottom"/>
            <w:gridSpan w:val="3"/>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5480" w:type="dxa"/>
            <w:vAlign w:val="bottom"/>
            <w:gridSpan w:val="3"/>
          </w:tcPr>
          <w:p>
            <w:pPr>
              <w:ind w:left="500"/>
              <w:spacing w:after="0"/>
              <w:rPr>
                <w:rFonts w:ascii="Arial" w:cs="Arial" w:eastAsia="Arial" w:hAnsi="Arial"/>
                <w:sz w:val="18"/>
                <w:szCs w:val="18"/>
                <w:color w:val="0000EE"/>
              </w:rPr>
            </w:pPr>
            <w:hyperlink w:anchor="page28">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5940" w:type="dxa"/>
            <w:vAlign w:val="bottom"/>
            <w:gridSpan w:val="6"/>
          </w:tcPr>
          <w:p>
            <w:pPr>
              <w:ind w:left="480"/>
              <w:spacing w:after="0"/>
              <w:rPr>
                <w:rFonts w:ascii="Arial" w:cs="Arial" w:eastAsia="Arial" w:hAnsi="Arial"/>
                <w:sz w:val="18"/>
                <w:szCs w:val="18"/>
                <w:color w:val="0000EE"/>
                <w:w w:val="93"/>
              </w:rPr>
            </w:pPr>
            <w:hyperlink w:anchor="page28">
              <w:r>
                <w:rPr>
                  <w:rFonts w:ascii="Arial" w:cs="Arial" w:eastAsia="Arial" w:hAnsi="Arial"/>
                  <w:sz w:val="18"/>
                  <w:szCs w:val="18"/>
                  <w:color w:val="0000EE"/>
                  <w:w w:val="93"/>
                </w:rPr>
                <w:t>Certification of Principal Financial Officer Required Under Rule 13a-14(a)</w:t>
              </w:r>
            </w:hyperlink>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5940" w:type="dxa"/>
            <w:vAlign w:val="bottom"/>
            <w:gridSpan w:val="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and 15d-14(a) of the Securities Exchange Act of 1934, as amended.</w:t>
              </w:r>
            </w:hyperlink>
          </w:p>
        </w:tc>
      </w:tr>
      <w:tr>
        <w:trPr>
          <w:trHeight w:val="20"/>
        </w:trPr>
        <w:tc>
          <w:tcPr>
            <w:tcW w:w="5480" w:type="dxa"/>
            <w:vAlign w:val="bottom"/>
            <w:gridSpan w:val="3"/>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5480" w:type="dxa"/>
            <w:vAlign w:val="bottom"/>
            <w:gridSpan w:val="3"/>
          </w:tcPr>
          <w:p>
            <w:pPr>
              <w:ind w:left="500"/>
              <w:spacing w:after="0"/>
              <w:rPr>
                <w:rFonts w:ascii="Arial" w:cs="Arial" w:eastAsia="Arial" w:hAnsi="Arial"/>
                <w:sz w:val="18"/>
                <w:szCs w:val="18"/>
                <w:color w:val="0000EE"/>
              </w:rPr>
            </w:pPr>
            <w:hyperlink w:anchor="page29">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5940" w:type="dxa"/>
            <w:vAlign w:val="bottom"/>
            <w:gridSpan w:val="6"/>
          </w:tcPr>
          <w:p>
            <w:pPr>
              <w:ind w:left="480"/>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Certification of Principal Executive Officer and Principal Financial Officer</w:t>
              </w:r>
            </w:hyperlink>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5940" w:type="dxa"/>
            <w:vAlign w:val="bottom"/>
            <w:gridSpan w:val="6"/>
          </w:tcPr>
          <w:p>
            <w:pPr>
              <w:spacing w:after="0" w:line="196"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Required Under Rule 13a-14(b) of the Securities Exchange Act of 1934, as</w:t>
              </w:r>
            </w:hyperlink>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amended, and 18 U.S.C. §1350.</w:t>
              </w:r>
            </w:hyperlink>
          </w:p>
        </w:tc>
        <w:tc>
          <w:tcPr>
            <w:tcW w:w="3100" w:type="dxa"/>
            <w:vAlign w:val="bottom"/>
            <w:tcBorders>
              <w:top w:val="single" w:sz="8" w:color="0000EE"/>
            </w:tcBorders>
            <w:gridSpan w:val="2"/>
          </w:tcPr>
          <w:p>
            <w:pPr>
              <w:spacing w:after="0"/>
              <w:rPr>
                <w:sz w:val="17"/>
                <w:szCs w:val="17"/>
                <w:color w:val="auto"/>
              </w:rPr>
            </w:pPr>
          </w:p>
        </w:tc>
        <w:tc>
          <w:tcPr>
            <w:tcW w:w="540" w:type="dxa"/>
            <w:vAlign w:val="bottom"/>
            <w:gridSpan w:val="2"/>
          </w:tcPr>
          <w:p>
            <w:pPr>
              <w:spacing w:after="0"/>
              <w:rPr>
                <w:sz w:val="17"/>
                <w:szCs w:val="17"/>
                <w:color w:val="auto"/>
              </w:rPr>
            </w:pPr>
          </w:p>
        </w:tc>
      </w:tr>
      <w:tr>
        <w:trPr>
          <w:trHeight w:val="438"/>
        </w:trPr>
        <w:tc>
          <w:tcPr>
            <w:tcW w:w="800" w:type="dxa"/>
            <w:vAlign w:val="bottom"/>
            <w:gridSpan w:val="2"/>
          </w:tcPr>
          <w:p>
            <w:pPr>
              <w:ind w:left="500"/>
              <w:spacing w:after="0"/>
              <w:rPr>
                <w:sz w:val="20"/>
                <w:szCs w:val="20"/>
                <w:color w:val="auto"/>
              </w:rPr>
            </w:pPr>
            <w:r>
              <w:rPr>
                <w:rFonts w:ascii="Arial" w:cs="Arial" w:eastAsia="Arial" w:hAnsi="Arial"/>
                <w:sz w:val="18"/>
                <w:szCs w:val="18"/>
                <w:color w:val="auto"/>
                <w:w w:val="93"/>
              </w:rPr>
              <w:t>101</w:t>
            </w:r>
          </w:p>
        </w:tc>
        <w:tc>
          <w:tcPr>
            <w:tcW w:w="4680" w:type="dxa"/>
            <w:vAlign w:val="bottom"/>
          </w:tcPr>
          <w:p>
            <w:pPr>
              <w:spacing w:after="0"/>
              <w:rPr>
                <w:sz w:val="24"/>
                <w:szCs w:val="24"/>
                <w:color w:val="auto"/>
              </w:rPr>
            </w:pPr>
          </w:p>
        </w:tc>
        <w:tc>
          <w:tcPr>
            <w:tcW w:w="5940" w:type="dxa"/>
            <w:vAlign w:val="bottom"/>
            <w:gridSpan w:val="6"/>
          </w:tcPr>
          <w:p>
            <w:pPr>
              <w:ind w:left="480"/>
              <w:spacing w:after="0"/>
              <w:rPr>
                <w:sz w:val="20"/>
                <w:szCs w:val="20"/>
                <w:color w:val="auto"/>
              </w:rPr>
            </w:pPr>
            <w:r>
              <w:rPr>
                <w:rFonts w:ascii="Arial" w:cs="Arial" w:eastAsia="Arial" w:hAnsi="Arial"/>
                <w:sz w:val="18"/>
                <w:szCs w:val="18"/>
                <w:color w:val="auto"/>
              </w:rPr>
              <w:t>The following financial statements from the XBiotech Inc. Quarterly</w:t>
            </w: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940" w:type="dxa"/>
            <w:vAlign w:val="bottom"/>
            <w:gridSpan w:val="6"/>
          </w:tcPr>
          <w:p>
            <w:pPr>
              <w:spacing w:after="0"/>
              <w:rPr>
                <w:sz w:val="20"/>
                <w:szCs w:val="20"/>
                <w:color w:val="auto"/>
              </w:rPr>
            </w:pPr>
            <w:r>
              <w:rPr>
                <w:rFonts w:ascii="Arial" w:cs="Arial" w:eastAsia="Arial" w:hAnsi="Arial"/>
                <w:sz w:val="18"/>
                <w:szCs w:val="18"/>
                <w:color w:val="auto"/>
                <w:w w:val="90"/>
              </w:rPr>
              <w:t>Report on Form 10-Q for the quarter ended June 30, 2017, formatted in Extensive</w:t>
            </w:r>
          </w:p>
        </w:tc>
      </w:tr>
      <w:tr>
        <w:trPr>
          <w:trHeight w:val="230"/>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940" w:type="dxa"/>
            <w:vAlign w:val="bottom"/>
            <w:gridSpan w:val="6"/>
          </w:tcPr>
          <w:p>
            <w:pPr>
              <w:spacing w:after="0"/>
              <w:rPr>
                <w:sz w:val="20"/>
                <w:szCs w:val="20"/>
                <w:color w:val="auto"/>
              </w:rPr>
            </w:pPr>
            <w:r>
              <w:rPr>
                <w:rFonts w:ascii="Arial" w:cs="Arial" w:eastAsia="Arial" w:hAnsi="Arial"/>
                <w:sz w:val="18"/>
                <w:szCs w:val="18"/>
                <w:color w:val="auto"/>
                <w:w w:val="98"/>
              </w:rPr>
              <w:t>Business Reporting Language (XBRL): (i) condensed consolidated balance</w:t>
            </w:r>
          </w:p>
        </w:tc>
      </w:tr>
    </w:tbl>
    <w:p>
      <w:pPr>
        <w:ind w:left="5480"/>
        <w:spacing w:after="0"/>
        <w:rPr>
          <w:sz w:val="20"/>
          <w:szCs w:val="20"/>
          <w:color w:val="auto"/>
        </w:rPr>
      </w:pPr>
      <w:r>
        <w:rPr>
          <w:rFonts w:ascii="Arial" w:cs="Arial" w:eastAsia="Arial" w:hAnsi="Arial"/>
          <w:sz w:val="17"/>
          <w:szCs w:val="17"/>
          <w:color w:val="auto"/>
        </w:rPr>
        <w:t>sheets, (ii) condensed consolidated statements of operations, (iii) condensed</w:t>
      </w:r>
    </w:p>
    <w:p>
      <w:pPr>
        <w:spacing w:after="0" w:line="21"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consolidated statements of comprehensive loss, (iv) condensed consolidated</w:t>
      </w:r>
    </w:p>
    <w:p>
      <w:pPr>
        <w:spacing w:after="0" w:line="21"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statements of cash flows and (v) notes to condensed consolidated financial</w:t>
      </w:r>
    </w:p>
    <w:p>
      <w:pPr>
        <w:spacing w:after="0" w:line="2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statements (detail tagged).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r>
              <w:rPr>
                <w:rFonts w:ascii="Arial" w:cs="Arial" w:eastAsia="Arial" w:hAnsi="Arial"/>
                <w:sz w:val="18"/>
                <w:szCs w:val="18"/>
                <w:color w:val="auto"/>
              </w:rPr>
              <w:t>Date: August 8, 2017</w:t>
            </w:r>
          </w:p>
        </w:tc>
        <w:tc>
          <w:tcPr>
            <w:tcW w:w="7900" w:type="dxa"/>
            <w:vAlign w:val="bottom"/>
            <w:gridSpan w:val="2"/>
          </w:tcPr>
          <w:p>
            <w:pPr>
              <w:ind w:left="1440"/>
              <w:spacing w:after="0"/>
              <w:rPr>
                <w:sz w:val="20"/>
                <w:szCs w:val="20"/>
                <w:color w:val="auto"/>
              </w:rPr>
            </w:pPr>
            <w:r>
              <w:rPr>
                <w:rFonts w:ascii="Arial" w:cs="Arial" w:eastAsia="Arial" w:hAnsi="Arial"/>
                <w:sz w:val="18"/>
                <w:szCs w:val="18"/>
                <w:b w:val="1"/>
                <w:bCs w:val="1"/>
                <w:color w:val="auto"/>
              </w:rPr>
              <w:t>XBIOTECH INC.</w:t>
            </w:r>
          </w:p>
        </w:tc>
      </w:tr>
      <w:tr>
        <w:trPr>
          <w:trHeight w:val="864"/>
        </w:trPr>
        <w:tc>
          <w:tcPr>
            <w:tcW w:w="2920" w:type="dxa"/>
            <w:vAlign w:val="bottom"/>
          </w:tcPr>
          <w:p>
            <w:pPr>
              <w:spacing w:after="0"/>
              <w:rPr>
                <w:sz w:val="24"/>
                <w:szCs w:val="24"/>
                <w:color w:val="auto"/>
              </w:rPr>
            </w:pPr>
          </w:p>
        </w:tc>
        <w:tc>
          <w:tcPr>
            <w:tcW w:w="2820" w:type="dxa"/>
            <w:vAlign w:val="bottom"/>
          </w:tcPr>
          <w:p>
            <w:pPr>
              <w:ind w:left="134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Simard</w:t>
            </w:r>
          </w:p>
        </w:tc>
      </w:tr>
      <w:tr>
        <w:trPr>
          <w:trHeight w:val="195"/>
        </w:trPr>
        <w:tc>
          <w:tcPr>
            <w:tcW w:w="29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John Simard</w:t>
            </w:r>
          </w:p>
        </w:tc>
      </w:tr>
      <w:tr>
        <w:trPr>
          <w:trHeight w:val="216"/>
        </w:trPr>
        <w:tc>
          <w:tcPr>
            <w:tcW w:w="29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4"/>
              </w:rPr>
              <w:t>President, Chief Executive Officer and Director (</w:t>
            </w:r>
            <w:r>
              <w:rPr>
                <w:rFonts w:ascii="Arial" w:cs="Arial" w:eastAsia="Arial" w:hAnsi="Arial"/>
                <w:sz w:val="18"/>
                <w:szCs w:val="18"/>
                <w:i w:val="1"/>
                <w:iCs w:val="1"/>
                <w:color w:val="auto"/>
                <w:w w:val="94"/>
              </w:rPr>
              <w:t>Principal Executive</w:t>
            </w:r>
          </w:p>
        </w:tc>
      </w:tr>
      <w:tr>
        <w:trPr>
          <w:trHeight w:val="230"/>
        </w:trPr>
        <w:tc>
          <w:tcPr>
            <w:tcW w:w="29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r>
      <w:tr>
        <w:trPr>
          <w:trHeight w:val="864"/>
        </w:trPr>
        <w:tc>
          <w:tcPr>
            <w:tcW w:w="2920" w:type="dxa"/>
            <w:vAlign w:val="bottom"/>
          </w:tcPr>
          <w:p>
            <w:pPr>
              <w:spacing w:after="0"/>
              <w:rPr>
                <w:sz w:val="20"/>
                <w:szCs w:val="20"/>
                <w:color w:val="auto"/>
              </w:rPr>
            </w:pPr>
            <w:r>
              <w:rPr>
                <w:rFonts w:ascii="Arial" w:cs="Arial" w:eastAsia="Arial" w:hAnsi="Arial"/>
                <w:sz w:val="18"/>
                <w:szCs w:val="18"/>
                <w:color w:val="auto"/>
              </w:rPr>
              <w:t>Date: August 8, 2017</w:t>
            </w:r>
          </w:p>
        </w:tc>
        <w:tc>
          <w:tcPr>
            <w:tcW w:w="2820" w:type="dxa"/>
            <w:vAlign w:val="bottom"/>
          </w:tcPr>
          <w:p>
            <w:pPr>
              <w:ind w:left="134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Queena Han</w:t>
            </w:r>
          </w:p>
        </w:tc>
      </w:tr>
      <w:tr>
        <w:trPr>
          <w:trHeight w:val="195"/>
        </w:trPr>
        <w:tc>
          <w:tcPr>
            <w:tcW w:w="29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Queena Han</w:t>
            </w:r>
          </w:p>
        </w:tc>
      </w:tr>
      <w:tr>
        <w:trPr>
          <w:trHeight w:val="216"/>
        </w:trPr>
        <w:tc>
          <w:tcPr>
            <w:tcW w:w="29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Vice President, Finance and Human Resources, and Secretary</w:t>
            </w:r>
          </w:p>
        </w:tc>
      </w:tr>
      <w:tr>
        <w:trPr>
          <w:trHeight w:val="230"/>
        </w:trPr>
        <w:tc>
          <w:tcPr>
            <w:tcW w:w="29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688"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John Simard, certify that:</w:t>
      </w:r>
    </w:p>
    <w:p>
      <w:pPr>
        <w:spacing w:after="0" w:line="21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720" w:hanging="290"/>
        <w:spacing w:after="0" w:line="264"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720" w:hanging="300"/>
        <w:spacing w:after="0" w:line="264"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20" w:hanging="290"/>
        <w:spacing w:after="0" w:line="308" w:lineRule="auto"/>
        <w:tabs>
          <w:tab w:leader="none" w:pos="7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720" w:hanging="300"/>
        <w:spacing w:after="0" w:line="264"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hanging="290"/>
        <w:spacing w:after="0" w:line="277"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20" w:right="20" w:hanging="300"/>
        <w:spacing w:after="0" w:line="277"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John Simard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John Simard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Queena Han,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720" w:hanging="290"/>
        <w:spacing w:after="0" w:line="264"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720" w:hanging="300"/>
        <w:spacing w:after="0" w:line="264"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20" w:hanging="290"/>
        <w:spacing w:after="0" w:line="308" w:lineRule="auto"/>
        <w:tabs>
          <w:tab w:leader="none" w:pos="7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720" w:hanging="300"/>
        <w:spacing w:after="0" w:line="264"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hanging="290"/>
        <w:spacing w:after="0" w:line="277"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20" w:right="20" w:hanging="300"/>
        <w:spacing w:after="0" w:line="277"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b w:val="1"/>
          <w:bCs w:val="1"/>
          <w:u w:val="single" w:color="auto"/>
          <w:color w:val="auto"/>
        </w:rPr>
        <w:t>/S/ QUEENA HAN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Queena Han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28" w:name="page29"/>
    <w:bookmarkEnd w:id="28"/>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AND PRINCIPAL FINANCIAL OFFICER PURSUANT TO 18 U.S.C. SECTION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June 30, 2017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w:t>
      </w:r>
      <w:r>
        <w:rPr>
          <w:rFonts w:ascii="Arial" w:cs="Arial" w:eastAsia="Arial" w:hAnsi="Arial"/>
          <w:sz w:val="18"/>
          <w:szCs w:val="18"/>
          <w:b w:val="1"/>
          <w:bCs w:val="1"/>
          <w:u w:val="single" w:color="auto"/>
          <w:color w:val="auto"/>
        </w:rPr>
        <w:t>JOHN SIMARD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John Simard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August 8, 2017</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June 30, 2017, as filed with the Securities and Exchange Commission on the date hereof (the “Report”), I, Queena Han, Vice President of Finance, Human Resources and Secretary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/S/ QUEENA HAN</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Queena Han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August 8,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3"/>
    </w:lvl>
  </w:abstractNum>
  <w:abstractNum w:abstractNumId="8">
    <w:nsid w:val="1190CDE7"/>
    <w:multiLevelType w:val="hybridMultilevel"/>
    <w:lvl w:ilvl="0">
      <w:lvlJc w:val="left"/>
      <w:lvlText w:val="%1."/>
      <w:numFmt w:val="decimal"/>
      <w:start w:val="4"/>
    </w:lvl>
  </w:abstractNum>
  <w:abstractNum w:abstractNumId="9">
    <w:nsid w:val="66EF438D"/>
    <w:multiLevelType w:val="hybridMultilevel"/>
    <w:lvl w:ilvl="0">
      <w:lvlJc w:val="left"/>
      <w:lvlText w:val="%1."/>
      <w:numFmt w:val="decimal"/>
      <w:start w:val="5"/>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2019-12-29T05:27:12Z</dcterms:created>
  <dcterms:modified xsi:type="dcterms:W3CDTF">2019-12-29T05:27:12Z</dcterms:modified>
</cp:coreProperties>
</file>