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3900" w:right="3900" w:hanging="3892"/>
        <w:spacing w:after="0" w:line="598" w:lineRule="auto"/>
        <w:tabs>
          <w:tab w:leader="none" w:pos="66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4" w:lineRule="exact"/>
        <w:rPr>
          <w:sz w:val="24"/>
          <w:szCs w:val="24"/>
          <w:color w:val="auto"/>
        </w:rPr>
      </w:pPr>
    </w:p>
    <w:p>
      <w:pPr>
        <w:spacing w:after="0"/>
        <w:tabs>
          <w:tab w:leader="none" w:pos="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Transition Report Pursuant to Section 13 or 15(d) of the Securities Exchange Act of 1934</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001-37437</w:t>
      </w:r>
    </w:p>
    <w:p>
      <w:pPr>
        <w:spacing w:after="0" w:line="227" w:lineRule="exact"/>
        <w:rPr>
          <w:sz w:val="24"/>
          <w:szCs w:val="24"/>
          <w:color w:val="auto"/>
        </w:rPr>
      </w:pPr>
    </w:p>
    <w:tbl>
      <w:tblPr>
        <w:tblLayout w:type="fixed"/>
        <w:tblInd w:w="1980" w:type="dxa"/>
        <w:tblCellMar>
          <w:top w:w="0" w:type="dxa"/>
          <w:left w:w="0" w:type="dxa"/>
          <w:bottom w:w="0" w:type="dxa"/>
          <w:right w:w="0" w:type="dxa"/>
        </w:tblCellMar>
      </w:tblPr>
      <w:tr>
        <w:trPr>
          <w:trHeight w:val="525"/>
        </w:trPr>
        <w:tc>
          <w:tcPr>
            <w:tcW w:w="5900" w:type="dxa"/>
            <w:vAlign w:val="bottom"/>
          </w:tcPr>
          <w:p>
            <w:pPr>
              <w:jc w:val="center"/>
              <w:ind w:left="1456"/>
              <w:spacing w:after="0"/>
              <w:rPr>
                <w:sz w:val="20"/>
                <w:szCs w:val="20"/>
                <w:color w:val="auto"/>
              </w:rPr>
            </w:pPr>
            <w:r>
              <w:rPr>
                <w:rFonts w:ascii="Arial" w:cs="Arial" w:eastAsia="Arial" w:hAnsi="Arial"/>
                <w:sz w:val="43"/>
                <w:szCs w:val="43"/>
                <w:b w:val="1"/>
                <w:bCs w:val="1"/>
                <w:color w:val="auto"/>
              </w:rPr>
              <w:t>XBIOTECH INC.</w:t>
            </w:r>
          </w:p>
        </w:tc>
        <w:tc>
          <w:tcPr>
            <w:tcW w:w="1500" w:type="dxa"/>
            <w:vAlign w:val="bottom"/>
          </w:tcPr>
          <w:p>
            <w:pPr>
              <w:spacing w:after="0"/>
              <w:rPr>
                <w:sz w:val="24"/>
                <w:szCs w:val="24"/>
                <w:color w:val="auto"/>
              </w:rPr>
            </w:pPr>
          </w:p>
        </w:tc>
      </w:tr>
      <w:tr>
        <w:trPr>
          <w:trHeight w:val="234"/>
        </w:trPr>
        <w:tc>
          <w:tcPr>
            <w:tcW w:w="5900" w:type="dxa"/>
            <w:vAlign w:val="bottom"/>
          </w:tcPr>
          <w:p>
            <w:pPr>
              <w:jc w:val="center"/>
              <w:ind w:left="1456"/>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500" w:type="dxa"/>
            <w:vAlign w:val="bottom"/>
          </w:tcPr>
          <w:p>
            <w:pPr>
              <w:spacing w:after="0"/>
              <w:rPr>
                <w:sz w:val="20"/>
                <w:szCs w:val="20"/>
                <w:color w:val="auto"/>
              </w:rPr>
            </w:pPr>
          </w:p>
        </w:tc>
      </w:tr>
      <w:tr>
        <w:trPr>
          <w:trHeight w:val="441"/>
        </w:trPr>
        <w:tc>
          <w:tcPr>
            <w:tcW w:w="5900" w:type="dxa"/>
            <w:vAlign w:val="bottom"/>
          </w:tcPr>
          <w:p>
            <w:pPr>
              <w:jc w:val="center"/>
              <w:ind w:right="3956"/>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__</w:t>
            </w:r>
          </w:p>
        </w:tc>
      </w:tr>
      <w:tr>
        <w:trPr>
          <w:trHeight w:val="216"/>
        </w:trPr>
        <w:tc>
          <w:tcPr>
            <w:tcW w:w="5900" w:type="dxa"/>
            <w:vAlign w:val="bottom"/>
          </w:tcPr>
          <w:p>
            <w:pPr>
              <w:jc w:val="center"/>
              <w:ind w:right="3956"/>
              <w:spacing w:after="0"/>
              <w:rPr>
                <w:sz w:val="20"/>
                <w:szCs w:val="20"/>
                <w:color w:val="auto"/>
              </w:rPr>
            </w:pPr>
            <w:r>
              <w:rPr>
                <w:rFonts w:ascii="Arial" w:cs="Arial" w:eastAsia="Arial" w:hAnsi="Arial"/>
                <w:sz w:val="18"/>
                <w:szCs w:val="18"/>
                <w:b w:val="1"/>
                <w:bCs w:val="1"/>
                <w:color w:val="auto"/>
                <w:w w:val="92"/>
              </w:rPr>
              <w:t>(State of Incorporation)</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59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41"/>
        </w:trPr>
        <w:tc>
          <w:tcPr>
            <w:tcW w:w="5900" w:type="dxa"/>
            <w:vAlign w:val="bottom"/>
          </w:tcPr>
          <w:p>
            <w:pPr>
              <w:jc w:val="center"/>
              <w:ind w:left="1476"/>
              <w:spacing w:after="0"/>
              <w:rPr>
                <w:sz w:val="20"/>
                <w:szCs w:val="20"/>
                <w:color w:val="auto"/>
              </w:rPr>
            </w:pPr>
            <w:r>
              <w:rPr>
                <w:rFonts w:ascii="Arial" w:cs="Arial" w:eastAsia="Arial" w:hAnsi="Arial"/>
                <w:sz w:val="18"/>
                <w:szCs w:val="18"/>
                <w:b w:val="1"/>
                <w:bCs w:val="1"/>
                <w:color w:val="auto"/>
                <w:w w:val="90"/>
              </w:rPr>
              <w:t>8201 E. Riverside Drive, Bldg. 4, Suite 100</w:t>
            </w:r>
          </w:p>
        </w:tc>
        <w:tc>
          <w:tcPr>
            <w:tcW w:w="1500" w:type="dxa"/>
            <w:vAlign w:val="bottom"/>
          </w:tcPr>
          <w:p>
            <w:pPr>
              <w:spacing w:after="0"/>
              <w:rPr>
                <w:sz w:val="24"/>
                <w:szCs w:val="24"/>
                <w:color w:val="auto"/>
              </w:rPr>
            </w:pPr>
          </w:p>
        </w:tc>
      </w:tr>
      <w:tr>
        <w:trPr>
          <w:trHeight w:val="216"/>
        </w:trPr>
        <w:tc>
          <w:tcPr>
            <w:tcW w:w="5900" w:type="dxa"/>
            <w:vAlign w:val="bottom"/>
          </w:tcPr>
          <w:p>
            <w:pPr>
              <w:jc w:val="center"/>
              <w:ind w:left="1456"/>
              <w:spacing w:after="0"/>
              <w:rPr>
                <w:sz w:val="20"/>
                <w:szCs w:val="20"/>
                <w:color w:val="auto"/>
              </w:rPr>
            </w:pPr>
            <w:r>
              <w:rPr>
                <w:rFonts w:ascii="Arial" w:cs="Arial" w:eastAsia="Arial" w:hAnsi="Arial"/>
                <w:sz w:val="18"/>
                <w:szCs w:val="18"/>
                <w:b w:val="1"/>
                <w:bCs w:val="1"/>
                <w:color w:val="auto"/>
                <w:w w:val="95"/>
              </w:rPr>
              <w:t>Austin, TX 78744</w:t>
            </w:r>
          </w:p>
        </w:tc>
        <w:tc>
          <w:tcPr>
            <w:tcW w:w="1500" w:type="dxa"/>
            <w:vAlign w:val="bottom"/>
          </w:tcPr>
          <w:p>
            <w:pPr>
              <w:spacing w:after="0"/>
              <w:rPr>
                <w:sz w:val="18"/>
                <w:szCs w:val="18"/>
                <w:color w:val="auto"/>
              </w:rPr>
            </w:pPr>
          </w:p>
        </w:tc>
      </w:tr>
      <w:tr>
        <w:trPr>
          <w:trHeight w:val="234"/>
        </w:trPr>
        <w:tc>
          <w:tcPr>
            <w:tcW w:w="5900" w:type="dxa"/>
            <w:vAlign w:val="bottom"/>
          </w:tcPr>
          <w:p>
            <w:pPr>
              <w:jc w:val="center"/>
              <w:ind w:left="1456"/>
              <w:spacing w:after="0"/>
              <w:rPr>
                <w:sz w:val="20"/>
                <w:szCs w:val="20"/>
                <w:color w:val="auto"/>
              </w:rPr>
            </w:pPr>
            <w:r>
              <w:rPr>
                <w:rFonts w:ascii="Arial" w:cs="Arial" w:eastAsia="Arial" w:hAnsi="Arial"/>
                <w:sz w:val="18"/>
                <w:szCs w:val="18"/>
                <w:b w:val="1"/>
                <w:bCs w:val="1"/>
                <w:color w:val="auto"/>
                <w:w w:val="89"/>
              </w:rPr>
              <w:t>(Address of principal executive offices)(Zip Code)</w:t>
            </w:r>
          </w:p>
        </w:tc>
        <w:tc>
          <w:tcPr>
            <w:tcW w:w="1500" w:type="dxa"/>
            <w:vAlign w:val="bottom"/>
          </w:tcPr>
          <w:p>
            <w:pPr>
              <w:spacing w:after="0"/>
              <w:rPr>
                <w:sz w:val="20"/>
                <w:szCs w:val="20"/>
                <w:color w:val="auto"/>
              </w:rPr>
            </w:pPr>
          </w:p>
        </w:tc>
      </w:tr>
      <w:tr>
        <w:trPr>
          <w:trHeight w:val="441"/>
        </w:trPr>
        <w:tc>
          <w:tcPr>
            <w:tcW w:w="5900" w:type="dxa"/>
            <w:vAlign w:val="bottom"/>
          </w:tcPr>
          <w:p>
            <w:pPr>
              <w:jc w:val="center"/>
              <w:ind w:left="1476"/>
              <w:spacing w:after="0"/>
              <w:rPr>
                <w:sz w:val="20"/>
                <w:szCs w:val="20"/>
                <w:color w:val="auto"/>
              </w:rPr>
            </w:pPr>
            <w:r>
              <w:rPr>
                <w:rFonts w:ascii="Arial" w:cs="Arial" w:eastAsia="Arial" w:hAnsi="Arial"/>
                <w:sz w:val="18"/>
                <w:szCs w:val="18"/>
                <w:b w:val="1"/>
                <w:bCs w:val="1"/>
                <w:color w:val="auto"/>
                <w:w w:val="90"/>
              </w:rPr>
              <w:t>Telephone Number (512) 386-2900</w:t>
            </w:r>
          </w:p>
        </w:tc>
        <w:tc>
          <w:tcPr>
            <w:tcW w:w="1500" w:type="dxa"/>
            <w:vAlign w:val="bottom"/>
          </w:tcPr>
          <w:p>
            <w:pPr>
              <w:spacing w:after="0"/>
              <w:rPr>
                <w:sz w:val="24"/>
                <w:szCs w:val="24"/>
                <w:color w:val="auto"/>
              </w:rPr>
            </w:pPr>
          </w:p>
        </w:tc>
      </w:tr>
      <w:tr>
        <w:trPr>
          <w:trHeight w:val="234"/>
        </w:trPr>
        <w:tc>
          <w:tcPr>
            <w:tcW w:w="5900" w:type="dxa"/>
            <w:vAlign w:val="bottom"/>
          </w:tcPr>
          <w:p>
            <w:pPr>
              <w:jc w:val="center"/>
              <w:ind w:left="1476"/>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500" w:type="dxa"/>
            <w:vAlign w:val="bottom"/>
          </w:tcPr>
          <w:p>
            <w:pPr>
              <w:spacing w:after="0"/>
              <w:rPr>
                <w:sz w:val="20"/>
                <w:szCs w:val="20"/>
                <w:color w:val="auto"/>
              </w:rPr>
            </w:pPr>
          </w:p>
        </w:tc>
      </w:tr>
    </w:tbl>
    <w:p>
      <w:pPr>
        <w:spacing w:after="0" w:line="229"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2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2400" w:type="dxa"/>
            <w:vAlign w:val="bottom"/>
          </w:tcPr>
          <w:p>
            <w:pPr>
              <w:ind w:left="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626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400" w:type="dxa"/>
            <w:vAlign w:val="bottom"/>
          </w:tcPr>
          <w:p>
            <w:pPr>
              <w:ind w:left="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822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0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r>
      <w:tr>
        <w:trPr>
          <w:trHeight w:val="439"/>
        </w:trPr>
        <w:tc>
          <w:tcPr>
            <w:tcW w:w="8220" w:type="dxa"/>
            <w:vAlign w:val="bottom"/>
            <w:gridSpan w:val="2"/>
          </w:tcPr>
          <w:p>
            <w:pPr>
              <w:spacing w:after="0"/>
              <w:rPr>
                <w:sz w:val="20"/>
                <w:szCs w:val="20"/>
                <w:color w:val="auto"/>
              </w:rPr>
            </w:pPr>
            <w:r>
              <w:rPr>
                <w:rFonts w:ascii="Arial" w:cs="Arial" w:eastAsia="Arial" w:hAnsi="Arial"/>
                <w:sz w:val="18"/>
                <w:szCs w:val="18"/>
                <w:color w:val="auto"/>
                <w:w w:val="90"/>
              </w:rPr>
              <w:t>As of May 27, 2015, there were 27,984,964 shares of the registrant's common stock were issued and outstanding.</w:t>
            </w:r>
          </w:p>
        </w:tc>
        <w:tc>
          <w:tcPr>
            <w:tcW w:w="24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40"/>
          </w:cols>
          <w:pgMar w:left="240" w:top="274"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THREE MONTHS ENDED MARCH 31, 2015</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20" w:type="dxa"/>
            <w:vAlign w:val="bottom"/>
            <w:gridSpan w:val="12"/>
          </w:tcPr>
          <w:p>
            <w:pPr>
              <w:jc w:val="center"/>
              <w:ind w:right="3580"/>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284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Financial Statements</w:t>
              </w:r>
            </w:hyperlink>
          </w:p>
        </w:tc>
        <w:tc>
          <w:tcPr>
            <w:tcW w:w="3160" w:type="dxa"/>
            <w:vAlign w:val="bottom"/>
            <w:tcBorders>
              <w:top w:val="single" w:sz="8" w:color="auto"/>
            </w:tcBorders>
            <w:gridSpan w:val="5"/>
          </w:tcPr>
          <w:p>
            <w:pPr>
              <w:spacing w:after="0"/>
              <w:rPr>
                <w:sz w:val="21"/>
                <w:szCs w:val="21"/>
                <w:color w:val="auto"/>
              </w:rPr>
            </w:pPr>
          </w:p>
        </w:tc>
        <w:tc>
          <w:tcPr>
            <w:tcW w:w="3920" w:type="dxa"/>
            <w:vAlign w:val="bottom"/>
            <w:gridSpan w:val="6"/>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3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Balance Sheets as of March 31, 2015 (unaudited) and December 31, 2014</w:t>
              </w:r>
            </w:hyperlink>
          </w:p>
        </w:tc>
        <w:tc>
          <w:tcPr>
            <w:tcW w:w="362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92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Operations for the three months ended March 31, 2015 (unaudited) and 2014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Comprehensive Loss for the three months ended March 31, 2015 (unaudited) and 2014</w:t>
              </w:r>
            </w:hyperlink>
          </w:p>
        </w:tc>
        <w:tc>
          <w:tcPr>
            <w:tcW w:w="140" w:type="dxa"/>
            <w:vAlign w:val="bottom"/>
            <w:tcBorders>
              <w:top w:val="single" w:sz="8" w:color="0000EE"/>
            </w:tcBorders>
          </w:tcPr>
          <w:p>
            <w:pPr>
              <w:spacing w:after="0"/>
              <w:rPr>
                <w:sz w:val="21"/>
                <w:szCs w:val="21"/>
                <w:color w:val="auto"/>
              </w:rPr>
            </w:pPr>
          </w:p>
        </w:tc>
        <w:tc>
          <w:tcPr>
            <w:tcW w:w="15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920" w:type="dxa"/>
            <w:vAlign w:val="bottom"/>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92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 for the three months ended March 31, 2015 (unaudited) and 2014 (unaudited)</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 (unaudited)</w:t>
              </w:r>
            </w:hyperlink>
          </w:p>
        </w:tc>
        <w:tc>
          <w:tcPr>
            <w:tcW w:w="4460" w:type="dxa"/>
            <w:vAlign w:val="bottom"/>
            <w:gridSpan w:val="8"/>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50"/>
        </w:trPr>
        <w:tc>
          <w:tcPr>
            <w:tcW w:w="126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992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992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500" w:type="dxa"/>
            <w:vAlign w:val="bottom"/>
            <w:tcBorders>
              <w:left w:val="single" w:sz="8" w:color="0000EE"/>
            </w:tcBorders>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992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r>
      <w:tr>
        <w:trPr>
          <w:trHeight w:val="250"/>
        </w:trPr>
        <w:tc>
          <w:tcPr>
            <w:tcW w:w="50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940" w:type="dxa"/>
            <w:vAlign w:val="bottom"/>
            <w:gridSpan w:val="10"/>
          </w:tcPr>
          <w:p>
            <w:pPr>
              <w:jc w:val="center"/>
              <w:ind w:right="4080"/>
              <w:spacing w:after="0"/>
              <w:rPr>
                <w:sz w:val="20"/>
                <w:szCs w:val="20"/>
                <w:color w:val="auto"/>
              </w:rPr>
            </w:pPr>
            <w:r>
              <w:rPr>
                <w:rFonts w:ascii="Arial" w:cs="Arial" w:eastAsia="Arial" w:hAnsi="Arial"/>
                <w:sz w:val="18"/>
                <w:szCs w:val="18"/>
                <w:b w:val="1"/>
                <w:bCs w:val="1"/>
                <w:color w:val="auto"/>
              </w:rPr>
              <w:t>PART II—OTHER INFORMATION</w:t>
            </w: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w:t>
              </w:r>
            </w:hyperlink>
          </w:p>
        </w:tc>
        <w:tc>
          <w:tcPr>
            <w:tcW w:w="2980" w:type="dxa"/>
            <w:vAlign w:val="bottom"/>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2860" w:type="dxa"/>
            <w:vAlign w:val="bottom"/>
            <w:tcBorders>
              <w:top w:val="single" w:sz="8" w:color="auto"/>
            </w:tcBorders>
            <w:gridSpan w:val="3"/>
          </w:tcPr>
          <w:p>
            <w:pPr>
              <w:spacing w:after="0"/>
              <w:rPr>
                <w:sz w:val="21"/>
                <w:szCs w:val="21"/>
                <w:color w:val="auto"/>
              </w:rPr>
            </w:pPr>
          </w:p>
        </w:tc>
        <w:tc>
          <w:tcPr>
            <w:tcW w:w="4080" w:type="dxa"/>
            <w:vAlign w:val="bottom"/>
            <w:gridSpan w:val="7"/>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Item 1A.</w:t>
              </w:r>
            </w:hyperlink>
          </w:p>
        </w:tc>
        <w:tc>
          <w:tcPr>
            <w:tcW w:w="620" w:type="dxa"/>
            <w:vAlign w:val="bottom"/>
          </w:tcPr>
          <w:p>
            <w:pPr>
              <w:spacing w:after="0"/>
              <w:rPr>
                <w:sz w:val="21"/>
                <w:szCs w:val="21"/>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9020" w:type="dxa"/>
            <w:vAlign w:val="bottom"/>
            <w:gridSpan w:val="1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50"/>
        </w:trPr>
        <w:tc>
          <w:tcPr>
            <w:tcW w:w="126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992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992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992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160" w:type="dxa"/>
            <w:vAlign w:val="bottom"/>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992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620" w:type="dxa"/>
            <w:vAlign w:val="bottom"/>
            <w:gridSpan w:val="1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992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6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SIGNATURES</w:t>
        </w:r>
      </w:hyperlink>
    </w:p>
    <w:p>
      <w:pPr>
        <w:spacing w:after="0" w:line="63" w:lineRule="exact"/>
        <w:rPr>
          <w:sz w:val="20"/>
          <w:szCs w:val="20"/>
          <w:color w:val="auto"/>
        </w:rPr>
      </w:pPr>
    </w:p>
    <w:p>
      <w:pPr>
        <w:ind w:left="12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EXHIBIT INDEX</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80" w:top="27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205" w:lineRule="exact"/>
        <w:rPr>
          <w:sz w:val="20"/>
          <w:szCs w:val="20"/>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and sell Xilonix™ in the United States, Europe and elsewhere;</w:t>
      </w:r>
    </w:p>
    <w:p>
      <w:pPr>
        <w:spacing w:after="0" w:line="252" w:lineRule="exact"/>
        <w:rPr>
          <w:rFonts w:ascii="Arial" w:cs="Arial" w:eastAsia="Arial" w:hAnsi="Arial"/>
          <w:sz w:val="18"/>
          <w:szCs w:val="18"/>
          <w:color w:val="auto"/>
        </w:rPr>
      </w:pPr>
    </w:p>
    <w:p>
      <w:pPr>
        <w:ind w:left="880" w:right="240" w:hanging="332"/>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 for Xilonix™ and other product candidates;</w:t>
      </w:r>
    </w:p>
    <w:p>
      <w:pPr>
        <w:spacing w:after="0" w:line="197" w:lineRule="exact"/>
        <w:rPr>
          <w:rFonts w:ascii="Arial" w:cs="Arial" w:eastAsia="Arial" w:hAnsi="Arial"/>
          <w:sz w:val="18"/>
          <w:szCs w:val="18"/>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commercialize the sale of Xilonix™ in the United States, Europe and elsewhere;</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our pharmaceutical products;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additional new products using our True Human™ antibody discovery platform;</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263" w:lineRule="exact"/>
        <w:rPr>
          <w:rFonts w:ascii="Arial" w:cs="Arial" w:eastAsia="Arial" w:hAnsi="Arial"/>
          <w:sz w:val="17"/>
          <w:szCs w:val="17"/>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accuracy of our estimates of the size and characteristics of the markets that may be addressed by our products and product candidates;</w:t>
      </w:r>
    </w:p>
    <w:p>
      <w:pPr>
        <w:spacing w:after="0" w:line="263" w:lineRule="exact"/>
        <w:rPr>
          <w:rFonts w:ascii="Arial" w:cs="Arial" w:eastAsia="Arial" w:hAnsi="Arial"/>
          <w:sz w:val="17"/>
          <w:szCs w:val="17"/>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Xilonix™ and future products, if any;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and our collaborators’ ability to obtain and maintain regulatory approvals for our product candidates;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4" w:name="page5"/>
    <w:bookmarkEnd w:id="4"/>
    <w:p>
      <w:pPr>
        <w:ind w:left="380" w:hanging="33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252" w:lineRule="exact"/>
        <w:rPr>
          <w:rFonts w:ascii="Arial" w:cs="Arial" w:eastAsia="Arial" w:hAnsi="Arial"/>
          <w:sz w:val="18"/>
          <w:szCs w:val="18"/>
          <w:color w:val="auto"/>
        </w:rPr>
      </w:pPr>
    </w:p>
    <w:p>
      <w:pPr>
        <w:ind w:left="380" w:hanging="33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252" w:lineRule="exact"/>
        <w:rPr>
          <w:rFonts w:ascii="Arial" w:cs="Arial" w:eastAsia="Arial" w:hAnsi="Arial"/>
          <w:sz w:val="18"/>
          <w:szCs w:val="18"/>
          <w:color w:val="auto"/>
        </w:rPr>
      </w:pPr>
    </w:p>
    <w:p>
      <w:pPr>
        <w:ind w:left="380" w:hanging="33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during which we will be an emerging growth company under the JOBS Act;</w:t>
      </w:r>
    </w:p>
    <w:p>
      <w:pPr>
        <w:spacing w:after="0" w:line="252" w:lineRule="exact"/>
        <w:rPr>
          <w:rFonts w:ascii="Arial" w:cs="Arial" w:eastAsia="Arial" w:hAnsi="Arial"/>
          <w:sz w:val="18"/>
          <w:szCs w:val="18"/>
          <w:color w:val="auto"/>
        </w:rPr>
      </w:pPr>
    </w:p>
    <w:p>
      <w:pPr>
        <w:ind w:left="380" w:hanging="33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252" w:lineRule="exact"/>
        <w:rPr>
          <w:rFonts w:ascii="Arial" w:cs="Arial" w:eastAsia="Arial" w:hAnsi="Arial"/>
          <w:sz w:val="18"/>
          <w:szCs w:val="18"/>
          <w:color w:val="auto"/>
        </w:rPr>
      </w:pPr>
    </w:p>
    <w:p>
      <w:pPr>
        <w:ind w:left="380" w:hanging="33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252" w:lineRule="exact"/>
        <w:rPr>
          <w:rFonts w:ascii="Arial" w:cs="Arial" w:eastAsia="Arial" w:hAnsi="Arial"/>
          <w:sz w:val="18"/>
          <w:szCs w:val="18"/>
          <w:color w:val="auto"/>
        </w:rPr>
      </w:pPr>
    </w:p>
    <w:p>
      <w:pPr>
        <w:ind w:left="380" w:hanging="332"/>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success of competing therapies that are or become available; and</w:t>
      </w:r>
    </w:p>
    <w:p>
      <w:pPr>
        <w:spacing w:after="0" w:line="263" w:lineRule="exact"/>
        <w:rPr>
          <w:rFonts w:ascii="Arial" w:cs="Arial" w:eastAsia="Arial" w:hAnsi="Arial"/>
          <w:sz w:val="17"/>
          <w:szCs w:val="17"/>
          <w:color w:val="auto"/>
        </w:rPr>
      </w:pPr>
    </w:p>
    <w:p>
      <w:pPr>
        <w:ind w:left="380" w:hanging="33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5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prospectus filed on April 16</w:t>
      </w:r>
      <w:r>
        <w:rPr>
          <w:rFonts w:ascii="Arial" w:cs="Arial" w:eastAsia="Arial" w:hAnsi="Arial"/>
          <w:sz w:val="25"/>
          <w:szCs w:val="25"/>
          <w:color w:val="auto"/>
          <w:vertAlign w:val="superscript"/>
        </w:rPr>
        <w:t>th</w:t>
      </w:r>
      <w:r>
        <w:rPr>
          <w:rFonts w:ascii="Arial" w:cs="Arial" w:eastAsia="Arial" w:hAnsi="Arial"/>
          <w:sz w:val="18"/>
          <w:szCs w:val="18"/>
          <w:color w:val="auto"/>
        </w:rPr>
        <w:t>, 2015,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32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81280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920"/>
          </w:cols>
          <w:pgMar w:left="740" w:top="2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0" w:type="dxa"/>
            <w:vAlign w:val="bottom"/>
          </w:tcPr>
          <w:p>
            <w:pPr>
              <w:jc w:val="center"/>
              <w:ind w:left="3290"/>
              <w:spacing w:after="0"/>
              <w:rPr>
                <w:sz w:val="20"/>
                <w:szCs w:val="20"/>
                <w:color w:val="auto"/>
              </w:rPr>
            </w:pPr>
            <w:r>
              <w:rPr>
                <w:rFonts w:ascii="Arial" w:cs="Arial" w:eastAsia="Arial" w:hAnsi="Arial"/>
                <w:sz w:val="18"/>
                <w:szCs w:val="18"/>
                <w:b w:val="1"/>
                <w:bCs w:val="1"/>
                <w:color w:val="auto"/>
                <w:w w:val="92"/>
              </w:rPr>
              <w:t>XBiotech Inc.</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000" w:type="dxa"/>
            <w:vAlign w:val="bottom"/>
          </w:tcPr>
          <w:p>
            <w:pPr>
              <w:jc w:val="center"/>
              <w:ind w:left="3290"/>
              <w:spacing w:after="0"/>
              <w:rPr>
                <w:sz w:val="20"/>
                <w:szCs w:val="20"/>
                <w:color w:val="auto"/>
              </w:rPr>
            </w:pPr>
            <w:r>
              <w:rPr>
                <w:rFonts w:ascii="Arial" w:cs="Arial" w:eastAsia="Arial" w:hAnsi="Arial"/>
                <w:sz w:val="18"/>
                <w:szCs w:val="18"/>
                <w:color w:val="auto"/>
                <w:w w:val="88"/>
              </w:rPr>
              <w:t>Consolidated Balance Sheets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jc w:val="center"/>
              <w:ind w:left="3310"/>
              <w:spacing w:after="0"/>
              <w:rPr>
                <w:sz w:val="20"/>
                <w:szCs w:val="20"/>
                <w:color w:val="auto"/>
              </w:rPr>
            </w:pPr>
            <w:r>
              <w:rPr>
                <w:rFonts w:ascii="Arial" w:cs="Arial" w:eastAsia="Arial" w:hAnsi="Arial"/>
                <w:sz w:val="18"/>
                <w:szCs w:val="18"/>
                <w:color w:val="auto"/>
                <w:w w:val="88"/>
              </w:rPr>
              <w:t>(in thousands, except share data)</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52,236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offering costs</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53,765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58,688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62,177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2,915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44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0"/>
              </w:rPr>
              <w:t>Common stock, no par value, unlimited shares authorized, 27,726,631 and 27,546,632 shares outstanding</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at March 31, 2015 and December 31, 2014, respectively</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156,393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54,860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58,688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40" w:type="dxa"/>
            <w:vAlign w:val="bottom"/>
          </w:tcPr>
          <w:p>
            <w:pPr>
              <w:jc w:val="center"/>
              <w:ind w:left="3550"/>
              <w:spacing w:after="0"/>
              <w:rPr>
                <w:sz w:val="20"/>
                <w:szCs w:val="20"/>
                <w:color w:val="auto"/>
              </w:rPr>
            </w:pPr>
            <w:r>
              <w:rPr>
                <w:rFonts w:ascii="Arial" w:cs="Arial" w:eastAsia="Arial" w:hAnsi="Arial"/>
                <w:sz w:val="18"/>
                <w:szCs w:val="18"/>
                <w:b w:val="1"/>
                <w:bCs w:val="1"/>
                <w:color w:val="auto"/>
                <w:w w:val="92"/>
              </w:rPr>
              <w:t>XBiotech Inc.</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740" w:type="dxa"/>
            <w:vAlign w:val="bottom"/>
          </w:tcPr>
          <w:p>
            <w:pPr>
              <w:jc w:val="center"/>
              <w:ind w:left="3550"/>
              <w:spacing w:after="0"/>
              <w:rPr>
                <w:sz w:val="20"/>
                <w:szCs w:val="20"/>
                <w:color w:val="auto"/>
              </w:rPr>
            </w:pPr>
            <w:r>
              <w:rPr>
                <w:rFonts w:ascii="Arial" w:cs="Arial" w:eastAsia="Arial" w:hAnsi="Arial"/>
                <w:sz w:val="18"/>
                <w:szCs w:val="18"/>
                <w:color w:val="auto"/>
                <w:w w:val="89"/>
              </w:rPr>
              <w:t>Consolidated Statements of Operations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tcPr>
          <w:p>
            <w:pPr>
              <w:jc w:val="center"/>
              <w:ind w:left="3570"/>
              <w:spacing w:after="0"/>
              <w:rPr>
                <w:sz w:val="20"/>
                <w:szCs w:val="20"/>
                <w:color w:val="auto"/>
              </w:rPr>
            </w:pPr>
            <w:r>
              <w:rPr>
                <w:rFonts w:ascii="Arial" w:cs="Arial" w:eastAsia="Arial" w:hAnsi="Arial"/>
                <w:sz w:val="18"/>
                <w:szCs w:val="18"/>
                <w:color w:val="auto"/>
                <w:w w:val="87"/>
              </w:rPr>
              <w:t>(in thousands, except share and per share data)</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6,784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Foreign exchange gain</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Total other income</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(8,114)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Net loss per share—basic and diluted</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(0.29)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27,641,565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23,550,212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16"/>
        </w:trPr>
        <w:tc>
          <w:tcPr>
            <w:tcW w:w="55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34"/>
        </w:trPr>
        <w:tc>
          <w:tcPr>
            <w:tcW w:w="5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(unaudited)</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6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r>
      <w:tr>
        <w:trPr>
          <w:trHeight w:val="20"/>
        </w:trPr>
        <w:tc>
          <w:tcPr>
            <w:tcW w:w="55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20" w:type="dxa"/>
            <w:vAlign w:val="bottom"/>
          </w:tcPr>
          <w:p>
            <w:pPr>
              <w:jc w:val="center"/>
              <w:ind w:left="3670"/>
              <w:spacing w:after="0"/>
              <w:rPr>
                <w:sz w:val="20"/>
                <w:szCs w:val="20"/>
                <w:color w:val="auto"/>
              </w:rPr>
            </w:pPr>
            <w:r>
              <w:rPr>
                <w:rFonts w:ascii="Arial" w:cs="Arial" w:eastAsia="Arial" w:hAnsi="Arial"/>
                <w:sz w:val="18"/>
                <w:szCs w:val="18"/>
                <w:b w:val="1"/>
                <w:bCs w:val="1"/>
                <w:color w:val="auto"/>
                <w:w w:val="92"/>
              </w:rPr>
              <w:t>XBiotech Inc.</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20" w:type="dxa"/>
            <w:vAlign w:val="bottom"/>
          </w:tcPr>
          <w:p>
            <w:pPr>
              <w:jc w:val="center"/>
              <w:ind w:left="3670"/>
              <w:spacing w:after="0"/>
              <w:rPr>
                <w:sz w:val="20"/>
                <w:szCs w:val="20"/>
                <w:color w:val="auto"/>
              </w:rPr>
            </w:pPr>
            <w:r>
              <w:rPr>
                <w:rFonts w:ascii="Arial" w:cs="Arial" w:eastAsia="Arial" w:hAnsi="Arial"/>
                <w:sz w:val="18"/>
                <w:szCs w:val="18"/>
                <w:color w:val="auto"/>
                <w:w w:val="89"/>
              </w:rPr>
              <w:t>Consolidated Statements of Cash Flows</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jc w:val="center"/>
              <w:ind w:left="3670"/>
              <w:spacing w:after="0"/>
              <w:rPr>
                <w:sz w:val="20"/>
                <w:szCs w:val="20"/>
                <w:color w:val="auto"/>
              </w:rPr>
            </w:pPr>
            <w:r>
              <w:rPr>
                <w:rFonts w:ascii="Arial" w:cs="Arial" w:eastAsia="Arial" w:hAnsi="Arial"/>
                <w:sz w:val="18"/>
                <w:szCs w:val="18"/>
                <w:color w:val="auto"/>
                <w:w w:val="89"/>
              </w:rPr>
              <w:t>(in thousands)</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(8,114)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 expense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expenses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rPr>
              <w:t>Deferred rent</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4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Issuance of common stock and warrants, net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option plan</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Collection of subscription receivable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4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57,329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52,236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34"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XBiotech, Inc. (“XBiotech” or “the Company”) was incorporated in Canada on March 22, 2005. XBiotech USA Inc., a wholly-owned subsidiary of the Company, was incorporated in Delaware, United States (“U.S.”) in November 2007. XBiotech Schweiz AG, a wholly-owned subsidiary of the Company, was incorporated in Zug, Switzerland in August 2010. XBiotech Japan KK, a wholly-owned subsidiary of the Company, was incorporated in Tokyo, Japan in March 2013. XBiotech GmbH, a wholly-owned subsidiary of the Company, was incorporated in Germany in January 2014.</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Since its inception, XBiotech has focused on advancing technology to rapidly identify and clone antibodies from individuals that have resistance to disease.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the heart of the Company is a proprietary technical knowhow to translate natural human immunity into therapeutic product candidates.</w:t>
      </w:r>
    </w:p>
    <w:p>
      <w:pPr>
        <w:spacing w:after="0" w:line="23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2005, the Company began to develop a new framework for commercial manufacturing, using technology that required less capital, fewer operators and provided greater flexibility than standard industry practices.</w:t>
      </w:r>
    </w:p>
    <w:p>
      <w:pPr>
        <w:spacing w:after="0" w:line="197"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With the manufacturing capability to produce its True Human</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antibody therapy, in 2010 the Company began a clinical trial program. The first clinical trial program at MD Anderson Cancer Center began treating the sickest cancer patients irrespective of tumor type. Soon thereafter, the Company used the same antibody therapy in various clinical studies at treatment centers around the U.S. and abroad to investigate the antibody effect in patients that had vascular disease, leukemia, type 2 diabetes, psoriasis or acne.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headquarters are located in Austin, Texas.</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trials, is expected to depend on the amount and timing of cash receipts from future collaboration or product sales and/or financing transactions.</w:t>
      </w:r>
    </w:p>
    <w:p>
      <w:pPr>
        <w:spacing w:after="0" w:line="177" w:lineRule="exact"/>
        <w:rPr>
          <w:sz w:val="20"/>
          <w:szCs w:val="20"/>
          <w:color w:val="auto"/>
        </w:rPr>
      </w:pPr>
    </w:p>
    <w:p>
      <w:pPr>
        <w:ind w:right="8380" w:firstLine="8"/>
        <w:spacing w:after="0" w:line="534" w:lineRule="auto"/>
        <w:tabs>
          <w:tab w:leader="none" w:pos="63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These consolidated financial statements have been prepared in conformity with accounting principles generally accepted in the United States, or US GAAP.</w:t>
      </w:r>
    </w:p>
    <w:p>
      <w:pPr>
        <w:spacing w:after="0" w:line="2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Company’s opinion, the accompanying interim unaudited consolidated financial statements have been prepared on the same basis as the audited consolidated financial statements and include all adjustments, consisting of normal, recurring adjustments, necessary for a fair presentation. Certain information and disclosures normally included in the notes to the annual consolidated financial statements prepared in accordance with GAAP have been omitted from these interim unaudited consolidated financial statements pursuant to the rules and regulations of the SEC. Accordingly, these interim unaudited consolidated financial statements should be read in conjunction with the consolidated financial statements and the accompanying notes for the fiscal year ended December 31, 2014, which are included in the Company’s Registration Statement on Form S-1, filed with the SEC on April 14 2015. The results of operations for the three months ended March 31, 2015 are not necessarily indicative of the results to be expected for the year ending December 31, 2015 or for any other period.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Basis of Consolidation</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make estimates and assumptions that affect the reported values of amounts in the financial statements and accompanying notes. Actual results could differ from those estimates.</w:t>
      </w:r>
    </w:p>
    <w:p>
      <w:pPr>
        <w:spacing w:after="0" w:line="20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utilizes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research services, the costs of laboratory equipment and facilities, license fees and other external costs. Costs incurred to acquire licenses for intellectual property to be used in research and development activities with no alternative future use are expensed as incurred as research and development.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Nonrefundable advance payments for goods or services to be received in the future for use in research and development activities are deferred and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capitalized amounts are expensed as the related goods are delivered or the services are performed.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makes estimates and judgments in determining the need for a provision for income taxes, including the estimation of its taxable income or loss for the each full fiscal year. The Company has accumulated significant deferred tax assets that reflect the tax effects of net operating loss and tax credit carryovers and temporary difference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 The Company may in the future determine that certain deferred tax assets will likely be realized, in which case the Company will reduce its valuation allowance in the period in which such determination is made. If the valuation allowance is reduced, the Company may recognize a benefit from income taxes in its statement of operations in that period. The Company classifies interest recognized pursuant to its deferred tax assets as interest expense, when appropriate.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accounts for its share-based compensation awards in accordance with ASC Topic 718, Compensation-Stock Compensation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For awards subject to service-based vesting conditions, the Company recognizes share-based compensation expense, net of estimated forfeitures, equal to the grant date fair value of stock options on a straight-line basis over the requisite service period.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ind w:right="720"/>
        <w:spacing w:after="0" w:line="277" w:lineRule="auto"/>
        <w:rPr>
          <w:sz w:val="20"/>
          <w:szCs w:val="20"/>
          <w:color w:val="auto"/>
        </w:rPr>
      </w:pPr>
      <w:r>
        <w:rPr>
          <w:rFonts w:ascii="Arial" w:cs="Arial" w:eastAsia="Arial" w:hAnsi="Arial"/>
          <w:sz w:val="18"/>
          <w:szCs w:val="18"/>
          <w:color w:val="auto"/>
        </w:rPr>
        <w:t>Share-based compensation expense recognized for the three months ended March 31, 2015 and 2014 was included in the following line items on the Consolidated Statement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8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98"/>
              </w:rPr>
              <w:t>Three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rPr>
              <w:t>March 31,</w:t>
            </w:r>
          </w:p>
        </w:tc>
        <w:tc>
          <w:tcPr>
            <w:tcW w:w="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7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640" w:type="dxa"/>
            <w:vAlign w:val="bottom"/>
            <w:gridSpan w:val="3"/>
          </w:tcPr>
          <w:p>
            <w:pPr>
              <w:jc w:val="right"/>
              <w:ind w:right="450"/>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1,222</w:t>
            </w:r>
          </w:p>
        </w:tc>
        <w:tc>
          <w:tcPr>
            <w:tcW w:w="7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
        </w:trPr>
        <w:tc>
          <w:tcPr>
            <w:tcW w:w="81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9160" w:type="dxa"/>
            <w:vAlign w:val="bottom"/>
            <w:gridSpan w:val="6"/>
          </w:tcPr>
          <w:p>
            <w:pPr>
              <w:spacing w:after="0"/>
              <w:rPr>
                <w:sz w:val="20"/>
                <w:szCs w:val="20"/>
                <w:color w:val="auto"/>
              </w:rPr>
            </w:pPr>
            <w:r>
              <w:rPr>
                <w:rFonts w:ascii="Arial" w:cs="Arial" w:eastAsia="Arial" w:hAnsi="Arial"/>
                <w:sz w:val="18"/>
                <w:szCs w:val="18"/>
                <w:color w:val="auto"/>
                <w:w w:val="90"/>
              </w:rPr>
              <w:t>The fair value of each option is estimated on the date of grant using the Black-Scholes method with the following assumptions: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w w:val="99"/>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rPr>
              <w:t>March 31,</w:t>
            </w:r>
          </w:p>
        </w:tc>
        <w:tc>
          <w:tcPr>
            <w:tcW w:w="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Expected volatility</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68%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2.12%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10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$9.56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$7.14</w:t>
            </w: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related tax benefits were recognized for the three months ended March 31, 2015 and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consisted primarily of cash on deposit in U.S., German, Swiss and Canadian banks. Cash and cash equivalents are stated at cost which approximates fair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208" w:lineRule="exact"/>
        <w:rPr>
          <w:sz w:val="20"/>
          <w:szCs w:val="20"/>
          <w:color w:val="auto"/>
        </w:rPr>
      </w:pPr>
    </w:p>
    <w:p>
      <w:pPr>
        <w:ind w:left="880" w:hanging="332"/>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52" w:lineRule="exact"/>
        <w:rPr>
          <w:rFonts w:ascii="Arial" w:cs="Arial" w:eastAsia="Arial" w:hAnsi="Arial"/>
          <w:sz w:val="18"/>
          <w:szCs w:val="18"/>
          <w:color w:val="auto"/>
        </w:rPr>
      </w:pPr>
    </w:p>
    <w:p>
      <w:pPr>
        <w:ind w:left="880" w:right="600" w:hanging="332"/>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ind w:left="88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9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At March 31, 2015 and December 31, 2014, the Company did not have any assets or liabilities that were remeasured at fair value on a recurring basis. The carrying amounts reflected in the balance sheets for cash and cash equivalents, prepaid expenses and other current assets, accounts payable, and accrued expenses approximate their fair values at March 31, 2015 and December 31, 2014, due to their short-term nature.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5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and vehicles are stated at cost and depreciated over the estimated useful lives of the assets, with the exception of land and construction in process which are not depreciated, using the straight line method. The useful lives are as follows:</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  Furniture and fixtures (years)</w:t>
            </w:r>
          </w:p>
        </w:tc>
        <w:tc>
          <w:tcPr>
            <w:tcW w:w="5020" w:type="dxa"/>
            <w:vAlign w:val="bottom"/>
          </w:tcPr>
          <w:p>
            <w:pPr>
              <w:ind w:left="1260"/>
              <w:spacing w:after="0"/>
              <w:rPr>
                <w:sz w:val="20"/>
                <w:szCs w:val="20"/>
                <w:color w:val="auto"/>
              </w:rPr>
            </w:pPr>
            <w:r>
              <w:rPr>
                <w:rFonts w:ascii="Arial" w:cs="Arial" w:eastAsia="Arial" w:hAnsi="Arial"/>
                <w:sz w:val="18"/>
                <w:szCs w:val="18"/>
                <w:color w:val="auto"/>
              </w:rPr>
              <w:t>7</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Office equipment (years)</w:t>
            </w:r>
          </w:p>
        </w:tc>
        <w:tc>
          <w:tcPr>
            <w:tcW w:w="5020" w:type="dxa"/>
            <w:vAlign w:val="bottom"/>
          </w:tcPr>
          <w:p>
            <w:pPr>
              <w:ind w:left="1260"/>
              <w:spacing w:after="0"/>
              <w:rPr>
                <w:sz w:val="20"/>
                <w:szCs w:val="20"/>
                <w:color w:val="auto"/>
              </w:rPr>
            </w:pPr>
            <w:r>
              <w:rPr>
                <w:rFonts w:ascii="Arial" w:cs="Arial" w:eastAsia="Arial" w:hAnsi="Arial"/>
                <w:sz w:val="18"/>
                <w:szCs w:val="18"/>
                <w:color w:val="auto"/>
              </w:rPr>
              <w:t>5</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Leasehold improvements</w:t>
            </w:r>
          </w:p>
        </w:tc>
        <w:tc>
          <w:tcPr>
            <w:tcW w:w="5020" w:type="dxa"/>
            <w:vAlign w:val="bottom"/>
          </w:tcPr>
          <w:p>
            <w:pPr>
              <w:ind w:left="1260"/>
              <w:spacing w:after="0"/>
              <w:rPr>
                <w:sz w:val="20"/>
                <w:szCs w:val="20"/>
                <w:color w:val="auto"/>
              </w:rPr>
            </w:pPr>
            <w:r>
              <w:rPr>
                <w:rFonts w:ascii="Arial" w:cs="Arial" w:eastAsia="Arial" w:hAnsi="Arial"/>
                <w:sz w:val="18"/>
                <w:szCs w:val="18"/>
                <w:color w:val="auto"/>
                <w:w w:val="90"/>
              </w:rPr>
              <w:t>Shorter of asset’s useful life or remaining lease term</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Scientific equipment (years)</w:t>
            </w:r>
          </w:p>
        </w:tc>
        <w:tc>
          <w:tcPr>
            <w:tcW w:w="5020" w:type="dxa"/>
            <w:vAlign w:val="bottom"/>
          </w:tcPr>
          <w:p>
            <w:pPr>
              <w:ind w:left="1260"/>
              <w:spacing w:after="0"/>
              <w:rPr>
                <w:sz w:val="20"/>
                <w:szCs w:val="20"/>
                <w:color w:val="auto"/>
              </w:rPr>
            </w:pPr>
            <w:r>
              <w:rPr>
                <w:rFonts w:ascii="Arial" w:cs="Arial" w:eastAsia="Arial" w:hAnsi="Arial"/>
                <w:sz w:val="18"/>
                <w:szCs w:val="18"/>
                <w:color w:val="auto"/>
              </w:rPr>
              <w:t>5</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Vehicles (years)</w:t>
            </w:r>
          </w:p>
        </w:tc>
        <w:tc>
          <w:tcPr>
            <w:tcW w:w="5020" w:type="dxa"/>
            <w:vAlign w:val="bottom"/>
          </w:tcPr>
          <w:p>
            <w:pPr>
              <w:ind w:left="1260"/>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Potential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March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Deferred offering costs, which consist of direct incremental legal, accounting and other professional service fees relating to the Company’s Initial Public Offering (“IPO”), are capitalized. The deferred offering costs will be offset against the proceeds from this proposed offering upon the consummation of the IPO which occurred on April 17,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34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180"/>
          </w:cols>
          <w:pgMar w:left="240" w:top="274"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Comprehensive Income (Loss)</w:t>
      </w:r>
    </w:p>
    <w:p>
      <w:pPr>
        <w:spacing w:after="0" w:line="256"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5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Subsequent events have been evaluated through the date of issuance of the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In June 2014 the Financial Accounting Standards Board (“FASB”) issued Accounting Standards Update 2014-10, </w:t>
      </w:r>
      <w:r>
        <w:rPr>
          <w:rFonts w:ascii="Arial" w:cs="Arial" w:eastAsia="Arial" w:hAnsi="Arial"/>
          <w:sz w:val="16"/>
          <w:szCs w:val="16"/>
          <w:i w:val="1"/>
          <w:iCs w:val="1"/>
          <w:color w:val="auto"/>
        </w:rPr>
        <w:t>Elimination of Certain Financial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including an Amendment to Variable Interest Entities Guidance in Topic 810 Consolidation</w:t>
      </w:r>
      <w:r>
        <w:rPr>
          <w:rFonts w:ascii="Arial" w:cs="Arial" w:eastAsia="Arial" w:hAnsi="Arial"/>
          <w:sz w:val="16"/>
          <w:szCs w:val="16"/>
          <w:color w:val="auto"/>
        </w:rPr>
        <w:t>. These updates remove the definition of a</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stage entity from the Master Glossary of the ASC, thereby removing the financial reporting distinction between development stage entities and other reporting entities from U.S. GAAP. In addition, the amendments eliminate the requirements for development stage entities to (1) present inception-to-date information in the statements of income, cash flows, and shareholder equity, (2) label the financial statements as those of a development stage entity,</w:t>
      </w:r>
    </w:p>
    <w:p>
      <w:pPr>
        <w:spacing w:after="0" w:line="2" w:lineRule="exact"/>
        <w:rPr>
          <w:sz w:val="20"/>
          <w:szCs w:val="20"/>
          <w:color w:val="auto"/>
        </w:rPr>
      </w:pPr>
    </w:p>
    <w:p>
      <w:pPr>
        <w:ind w:right="80" w:firstLine="8"/>
        <w:spacing w:after="0" w:line="255"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 a description of the development stage activities in which the entity is engaged, and (4) disclose in the first year in which the entity is no longer a development stage entity that in prior years it had been in the development stage. This standard is effective for annual reporting periods beginning after December 15, 2014. The Company has early adopted this standard in the presentation of its financial statements.</w:t>
      </w:r>
    </w:p>
    <w:p>
      <w:pPr>
        <w:spacing w:after="0" w:line="2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August 2014 the FASB issued ASU 2014-15</w:t>
      </w:r>
      <w:r>
        <w:rPr>
          <w:rFonts w:ascii="Arial" w:cs="Arial" w:eastAsia="Arial" w:hAnsi="Arial"/>
          <w:sz w:val="16"/>
          <w:szCs w:val="16"/>
          <w:i w:val="1"/>
          <w:iCs w:val="1"/>
          <w:color w:val="auto"/>
        </w:rPr>
        <w:t>, Disclosure of Uncertainties about an Entity’s Ability to Continue as a Going Concern</w:t>
      </w:r>
      <w:r>
        <w:rPr>
          <w:rFonts w:ascii="Arial" w:cs="Arial" w:eastAsia="Arial" w:hAnsi="Arial"/>
          <w:sz w:val="16"/>
          <w:szCs w:val="16"/>
          <w:color w:val="auto"/>
        </w:rPr>
        <w:t>. The ASU is intended to define management’s responsibility to evaluate whether there is substantial doubt about an organization’s ability to continue as a going concern and to provide related footnote disclosures. For all entities, the ASU is effective for annual periods ending after December 15, 2016 and interim periods within annual periods beginning after December 15, 2016. The Company has early adopted this standard in the presentation and its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 w:name="page15"/>
    <w:bookmarkEnd w:id="14"/>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provide for income taxes in 2015 because the Company has projected net loss for all jurisdictions for the full year 2015. The Company has recorded a full valuation allowance for its net deferred tax assets in 2015 and 2014.</w:t>
      </w:r>
    </w:p>
    <w:p>
      <w:pPr>
        <w:spacing w:after="0" w:line="193"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August 2013, the Company sold 1.2 million shares of common stock at a price of $10.00 per share for total proceeds of approximately $12.0 million. Each share had one warrant attached, exercisable for 180 days into a single common share in the Company at a price of $10.00 per share.</w:t>
      </w:r>
    </w:p>
    <w:p>
      <w:pPr>
        <w:spacing w:after="0" w:line="17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February 2014, the Company sold 1.2 million shares of common stock for total proceeds of approximately $12 million from the exercise of warrants by common stock shareholders. From July through November 18, 2014, the Company sold approximately 601,000 shares of common stock at a price of $15.00 per share for total proceeds of approximately $9.0 million. Each share had one warrant attached, which would be exercisable for 180 days into a single common share in the Company at a price of $15.00 per share. As of December 31, 2014, the Company had total warrants outstanding for the purchase of 493,000 shares of common stock at a price of $15.00 per share.</w:t>
      </w:r>
    </w:p>
    <w:p>
      <w:pPr>
        <w:spacing w:after="0" w:line="215"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From November 24, 2014 through December 31, 2014, the Company sold 3.0 million shares of common stock at $15.00 per share pursuant to stock subscription agreements for the total proceeds of $44.8 million of which $410,000 remained uncollected as of December 31, 2014 and was received in January 2015. The Company incurred issuance costs of approximately $1.9 million in cash and $0.4 million in non-cash consideration.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2014, 15,000 stock options were exercised at a price of $10.00 for total proceeds of $0.15 million.</w:t>
      </w:r>
    </w:p>
    <w:p>
      <w:pPr>
        <w:spacing w:after="0" w:line="2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January to March 2015, the Company received requests from investors for the exercise of warrants to purchase a total of 164,999 shares of common stock at $15.00 per share for a total of $2.4 million from these exercised warrants. Also, the Company received approximately $8,000 in January 2015 from 15,000 exercised options at $0.55 per share.</w:t>
      </w:r>
    </w:p>
    <w:p>
      <w:pPr>
        <w:spacing w:after="0" w:line="204"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Options</w:t>
      </w:r>
    </w:p>
    <w:p>
      <w:pPr>
        <w:spacing w:after="0" w:line="25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November 11, 2005, the board of directors of the Company adopted a stock option plan (“the Plan”) pursuant to which the Company may grant incentive stock options to directors, officers, employees or consultants of the Company or an affiliate or other persons as the Compensation Committee may approve.</w:t>
      </w:r>
    </w:p>
    <w:p>
      <w:pPr>
        <w:spacing w:after="0" w:line="1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February and August 2011, the Company granted stock options to a non-employee consultant that vest over 3 and 4 years, respectively. The fair value of these awards is remeasured at each reporting date until the date the consultant’s services are completed.</w:t>
      </w:r>
    </w:p>
    <w:p>
      <w:pPr>
        <w:spacing w:after="0" w:line="19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5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 director, officer or employee of or consultant to the Company, or in the event of the termination of the participant with cause, the date of such termination.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 w:name="page16"/>
    <w:bookmarkEnd w:id="15"/>
    <w:p>
      <w:pPr>
        <w:ind w:right="420"/>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this Plan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w w:val="94"/>
              </w:rPr>
              <w:t>A summary of changes in common stock options issued under the Plan is as follows: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Options</w:t>
            </w:r>
          </w:p>
        </w:tc>
        <w:tc>
          <w:tcPr>
            <w:tcW w:w="1720" w:type="dxa"/>
            <w:vAlign w:val="bottom"/>
            <w:gridSpan w:val="3"/>
          </w:tcPr>
          <w:p>
            <w:pPr>
              <w:ind w:left="300"/>
              <w:spacing w:after="0"/>
              <w:rPr>
                <w:sz w:val="20"/>
                <w:szCs w:val="20"/>
                <w:color w:val="auto"/>
              </w:rPr>
            </w:pPr>
            <w:r>
              <w:rPr>
                <w:rFonts w:ascii="Arial" w:cs="Arial" w:eastAsia="Arial" w:hAnsi="Arial"/>
                <w:sz w:val="18"/>
                <w:szCs w:val="18"/>
                <w:b w:val="1"/>
                <w:bCs w:val="1"/>
                <w:color w:val="auto"/>
              </w:rPr>
              <w:t>Exercise Price</w:t>
            </w:r>
          </w:p>
        </w:tc>
        <w:tc>
          <w:tcPr>
            <w:tcW w:w="240" w:type="dxa"/>
            <w:vAlign w:val="bottom"/>
          </w:tcPr>
          <w:p>
            <w:pPr>
              <w:spacing w:after="0"/>
              <w:rPr>
                <w:sz w:val="21"/>
                <w:szCs w:val="21"/>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2014</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4,884,165</w:t>
            </w:r>
          </w:p>
        </w:tc>
        <w:tc>
          <w:tcPr>
            <w:tcW w:w="6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8"/>
              </w:rPr>
              <w:t>$0.55</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$15.00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65,000</w:t>
            </w:r>
          </w:p>
        </w:tc>
        <w:tc>
          <w:tcPr>
            <w:tcW w:w="66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15.00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Forfeitures</w:t>
            </w:r>
          </w:p>
        </w:tc>
        <w:tc>
          <w:tcPr>
            <w:tcW w:w="1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(95,625)</w:t>
            </w:r>
          </w:p>
        </w:tc>
        <w:tc>
          <w:tcPr>
            <w:tcW w:w="660" w:type="dxa"/>
            <w:vAlign w:val="bottom"/>
          </w:tcPr>
          <w:p>
            <w:pPr>
              <w:jc w:val="center"/>
              <w:ind w:left="130"/>
              <w:spacing w:after="0"/>
              <w:rPr>
                <w:sz w:val="20"/>
                <w:szCs w:val="20"/>
                <w:color w:val="auto"/>
              </w:rPr>
            </w:pPr>
            <w:r>
              <w:rPr>
                <w:rFonts w:ascii="Arial" w:cs="Arial" w:eastAsia="Arial" w:hAnsi="Arial"/>
                <w:sz w:val="18"/>
                <w:szCs w:val="18"/>
                <w:color w:val="auto"/>
                <w:w w:val="91"/>
              </w:rPr>
              <w:t>0.55</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tcPr>
          <w:p>
            <w:pPr>
              <w:jc w:val="center"/>
              <w:ind w:right="10"/>
              <w:spacing w:after="0"/>
              <w:rPr>
                <w:sz w:val="20"/>
                <w:szCs w:val="20"/>
                <w:color w:val="auto"/>
              </w:rPr>
            </w:pPr>
            <w:r>
              <w:rPr>
                <w:rFonts w:ascii="Arial" w:cs="Arial" w:eastAsia="Arial" w:hAnsi="Arial"/>
                <w:sz w:val="18"/>
                <w:szCs w:val="18"/>
                <w:color w:val="auto"/>
                <w:w w:val="88"/>
              </w:rPr>
              <w:t>15.00</w:t>
            </w:r>
          </w:p>
        </w:tc>
        <w:tc>
          <w:tcPr>
            <w:tcW w:w="24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Options outstanding at March 31, 2015</w:t>
            </w:r>
          </w:p>
        </w:tc>
        <w:tc>
          <w:tcPr>
            <w:tcW w:w="1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4,838,540</w:t>
            </w:r>
          </w:p>
        </w:tc>
        <w:tc>
          <w:tcPr>
            <w:tcW w:w="660" w:type="dxa"/>
            <w:vAlign w:val="bottom"/>
          </w:tcPr>
          <w:p>
            <w:pPr>
              <w:jc w:val="center"/>
              <w:ind w:left="130"/>
              <w:spacing w:after="0"/>
              <w:rPr>
                <w:sz w:val="20"/>
                <w:szCs w:val="20"/>
                <w:color w:val="auto"/>
              </w:rPr>
            </w:pPr>
            <w:r>
              <w:rPr>
                <w:rFonts w:ascii="Arial" w:cs="Arial" w:eastAsia="Arial" w:hAnsi="Arial"/>
                <w:sz w:val="18"/>
                <w:szCs w:val="18"/>
                <w:color w:val="auto"/>
                <w:w w:val="91"/>
              </w:rPr>
              <w:t>0.55</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tcPr>
          <w:p>
            <w:pPr>
              <w:jc w:val="center"/>
              <w:ind w:right="10"/>
              <w:spacing w:after="0"/>
              <w:rPr>
                <w:sz w:val="20"/>
                <w:szCs w:val="20"/>
                <w:color w:val="auto"/>
              </w:rPr>
            </w:pPr>
            <w:r>
              <w:rPr>
                <w:rFonts w:ascii="Arial" w:cs="Arial" w:eastAsia="Arial" w:hAnsi="Arial"/>
                <w:sz w:val="18"/>
                <w:szCs w:val="18"/>
                <w:color w:val="auto"/>
                <w:w w:val="88"/>
              </w:rPr>
              <w:t>15.00</w:t>
            </w:r>
          </w:p>
        </w:tc>
        <w:tc>
          <w:tcPr>
            <w:tcW w:w="2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March 31, 2015, there was approximately $4.8 million of unrecognized compensation cost, related to stock options granted under the Plan which will be amortized to stock compensation expense over the next 1.78 years.</w:t>
      </w:r>
    </w:p>
    <w:p>
      <w:pPr>
        <w:spacing w:after="0" w:line="193"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summarizes the computation of basic and diluted net loss per share for the three month ended March 31, 2015 and 2014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3"/>
        </w:trPr>
        <w:tc>
          <w:tcPr>
            <w:tcW w:w="6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Weighted-average number of common shares—basic and diluted</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27,641,565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23,550,212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bl>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common shares outstanding, because including them would have had an anti-dilutive effect due to the losses reported.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6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4,838,540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3,730,707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208,333</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Total</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5,046,873</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3,730,707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Legal fees of approximately $22,000 and $8,000 were incurred to a law firm for legal services rendered in which a former director of the Company is a senior partner in the three months ended March 31, 2015 and 2014. The Company had outstanding accounts payable to the same firm in the amount of approximately $12,000 and $37,000 as at March 31, 2015 and December 31, 2014.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6" w:name="page17"/>
    <w:bookmarkEnd w:id="16"/>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Company closed its initial public offering of 4,000,000 shares of its common stock at a price of $19.00 per share for a total offering amount of</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$76,000,000, before the underwriting discounts and commissions and other company expenses on April 17, 2015. The Company received net proceeds of approximately $70.9 million after deducting underwriting discounts and commissions of $3.8 million and other offering expenses of approximately $1.3 million.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have been evaluated through the date of issuance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80"/>
          </w:cols>
          <w:pgMar w:left="240" w:top="270" w:right="5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XBiotech is a clinical-stage biopharmaceutical company engaged in discovering and developing True Human™ monoclonal antibodies for treating a variety of different diseases. True Human™ monoclonal antibodies are those which occur naturally in human beings—as opposed to being derived from animal immunization technologies or otherwise engineered. We believe that naturally occurring monoclonal antibodies have the potential to be safer and more effective than their non-naturally occurring counterparts. While primarily focused on bringing our lead product candidate to market, we have also developed a proprietary True Human™ monoclonal antibody discovery platform and manufacturing system.</w:t>
      </w:r>
    </w:p>
    <w:p>
      <w:pPr>
        <w:spacing w:after="0" w:line="200"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We have never been profitable and, as of March 31, 2015, we had an accumulated deficit of $101.3 million. We had net losses of $8.1 and $4.5 million for three months ended March 31, 2015 and March 31, 2014, respectively.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begin to operate as a public company. We will need to generate significant revenues to achieve profitability, and we may never do so. On April 17, 2015, The Company closed its initial public offering of 4,000,000 shares of its common stock at a price of $19.00 per share for a total offering amount of $76,000,000, before the underwriting discounts and commissions and other company expenses. Net proceeds to the Company totaled approximately $70.9 million after deducting underwriting discounts and commissions of $3.8 million and other offering expenses of approximately $1.3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ind w:right="1020" w:firstLine="486"/>
        <w:spacing w:after="0" w:line="277" w:lineRule="auto"/>
        <w:rPr>
          <w:sz w:val="20"/>
          <w:szCs w:val="20"/>
          <w:color w:val="auto"/>
        </w:rPr>
      </w:pPr>
      <w:r>
        <w:rPr>
          <w:rFonts w:ascii="Arial" w:cs="Arial" w:eastAsia="Arial" w:hAnsi="Arial"/>
          <w:sz w:val="18"/>
          <w:szCs w:val="18"/>
          <w:color w:val="auto"/>
        </w:rPr>
        <w:t>To date, we have not generated any revenue. Our ability to generate revenue and become profitable depends on our ability to successfully commercialize our lead product candidate, Xilonix™, or any other product candidate we may advance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5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214"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March 31, 2015, we have recorded total research and development expenses, including share-based compensation, of $76.8 million. Our total research and development expenses for the three months ended March 31, 2015 and 2014 were $6.8 million and $2.3 million, respectively. Share-based compensation accounted for $0.4 million and $0.1 million for the three months ended March 31, 2015 and 2014, respectively.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8" w:name="page19"/>
    <w:bookmarkEnd w:id="18"/>
    <w:p>
      <w:pPr>
        <w:ind w:right="180" w:firstLine="486"/>
        <w:spacing w:after="0" w:line="264" w:lineRule="auto"/>
        <w:rPr>
          <w:sz w:val="20"/>
          <w:szCs w:val="20"/>
          <w:color w:val="auto"/>
        </w:rPr>
      </w:pPr>
      <w:r>
        <w:rPr>
          <w:rFonts w:ascii="Arial" w:cs="Arial" w:eastAsia="Arial" w:hAnsi="Arial"/>
          <w:sz w:val="18"/>
          <w:szCs w:val="18"/>
          <w:color w:val="auto"/>
        </w:rPr>
        <w:t xml:space="preserve">Research and development expenses, as a percentage of total operating expenses for the three months ended March 31, 2015 and 2014 were 83% and 52%, respectively. The percentages,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stock-based compensation, for the three months ended March 31, 2015 and 2014, were 91% and 83%, respectively.</w:t>
      </w:r>
    </w:p>
    <w:p>
      <w:pPr>
        <w:spacing w:after="0" w:line="208"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We expect our clinical costs to be substantial and to increase as we advance Xilonix™ through Phase III clinical trials in Europe and the U.S. and research and development costs to increase as we move other drug candidates into preclinical testing and clinical trials. Based on the results of our preclinical studies, we expect to selectively advance some drug candidates into clinical trials. We anticipate that we will select drug candidates and research projects for further development on an ongoing basis in response to their preclinical and clinical success and commercial potential.</w:t>
      </w:r>
    </w:p>
    <w:p>
      <w:pPr>
        <w:spacing w:after="0" w:line="19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During 2015, we intend to continue our Phase II study in Pyoderma Gangrenosum, or PG. Assuming that we continue to see positive results in the Phase II study, we may seek breakthrough designation from the FDA. After evaluation of the Phase II data, we will also determine our interest in conducting a pivotal Phase III study in this indication. As this is an orphan condition, with a relatively small incidence (estimated at less than 3,000 patients) in the United States, a pivotal study would likely need to be conducted in both the United States and Europe.</w:t>
      </w:r>
    </w:p>
    <w:p>
      <w:pPr>
        <w:spacing w:after="0" w:line="214" w:lineRule="exact"/>
        <w:rPr>
          <w:sz w:val="20"/>
          <w:szCs w:val="20"/>
          <w:color w:val="auto"/>
        </w:rPr>
      </w:pPr>
    </w:p>
    <w:p>
      <w:pPr>
        <w:ind w:right="320" w:firstLine="486"/>
        <w:spacing w:after="0" w:line="312" w:lineRule="auto"/>
        <w:rPr>
          <w:sz w:val="20"/>
          <w:szCs w:val="20"/>
          <w:color w:val="auto"/>
        </w:rPr>
      </w:pPr>
      <w:r>
        <w:rPr>
          <w:rFonts w:ascii="Arial" w:cs="Arial" w:eastAsia="Arial" w:hAnsi="Arial"/>
          <w:sz w:val="16"/>
          <w:szCs w:val="16"/>
          <w:color w:val="auto"/>
        </w:rPr>
        <w:t xml:space="preserve">A Phase I/II randomized, placebo controlled, dose escalation study for our antibody therapy for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infections is planned in 2015. We filed an IND in December 2014 for the study, which is currently on clinical hold, while at the request of the FDA, we complete an animal toxicology study. The results of the toxicology study were submitted to the FDA in March 2015 and we are waiting for notification from the FDA to continue our clinical study.</w:t>
      </w:r>
    </w:p>
    <w:p>
      <w:pPr>
        <w:spacing w:after="0" w:line="174"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Due to the fact that our drug candidates are in the early stage of development, we cannot estimate anticipated completion dates and when we might receive material net cash inflows from our research and development projects.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6"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ended March 31, 2015 and 2014 were $1.4 million and $2.2 million, respectively. Share-based compensation accounted for $0.8 million and $1.7 million for the three months ended March 31, 2015 and 2014,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right="340" w:firstLine="486"/>
        <w:spacing w:after="0" w:line="312"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conformity with generally accepted accounting principles in the United States, or US GAAP. The preparation of our financial statements requires us to make estimates and assumptions that affect the reported amounts of assets and liabilities and expenses incurred during the reported periods.</w:t>
      </w:r>
    </w:p>
    <w:p>
      <w:pPr>
        <w:spacing w:after="0" w:line="174"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208"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While our significant accounting policies are more fully described in the notes to our financial statements appearing in this prospectus, we believe that the following accounting policies are the most critical to understanding and evaluating our reported financial results.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Stock-based awards are measured at fair value at each grant date. We recognize stock-based compensation expenses ratably over the requisite service period of the option award.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Stock-Based Compensation Grants</w:t>
      </w:r>
    </w:p>
    <w:p>
      <w:pPr>
        <w:spacing w:after="0" w:line="25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determination of the fair value of stock-based compensation arrangements is affected by a number of variables, including estimates of the fair value of our common stock, expected stock price volatility, risk-free interest rate and the expected life of the award. We value stock options using the Black-Scholes option-pricing model, which was developed for use in estimating the fair value of traded options that are fully transferable and have no vesting restrictions. Black-Scholes and other option valuation models require the input of highly subjective assumptions, including the expected stock price volatility. If we made different assumptions, our stock-based compensation expenses, net loss, and net loss per common share could be significantly different. During all of the periods presented, we issued common stock for cash consideration to new investors. We believe that such transactions represent the best evidence of fair value of our common stock. Therefore, we used the sales price of our common stock during these periods as the fair value of our common stock.</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assumptions used for estimating the fair value of stock options granted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58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6"/>
              </w:rPr>
              <w:t>Ended March 31,</w:t>
            </w:r>
          </w:p>
        </w:tc>
      </w:tr>
      <w:tr>
        <w:trPr>
          <w:trHeight w:val="234"/>
        </w:trPr>
        <w:tc>
          <w:tcPr>
            <w:tcW w:w="5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2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9.56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5"/>
              </w:rPr>
              <w:t>7.14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volatility</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color w:val="auto"/>
                <w:w w:val="88"/>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4"/>
              </w:rPr>
              <w:t>70%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1.39% - 2.12%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0.69% - 2.73%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color w:val="auto"/>
                <w:w w:val="91"/>
              </w:rPr>
              <w:t>5 - 10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color w:val="auto"/>
                <w:w w:val="91"/>
              </w:rPr>
              <w:t>3 - 10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We have assumed no dividend yield because we do not expect to pay dividends in the foreseeable future, which is consistent with our past practice. The risk-free interest rate assumption is based on observed interest rates for U.S. Treasury securities with maturities consistent with the expected life of our stock options. The expected life represents the period of time the stock options are expected to be outstanding and is based on the simplified method when the stock option includes “plain vanilla” terms. Under the simplified method, the expected life of an option is presumed to be the midpoint between the vesting date and the end of the agreement term. We used the simplified method due to the lack of sufficient historical exercise data to provide a reasonable basis upon which to otherwise estimate the expected life of the stock options. For stock options that did not include “plain vanilla” terms we used the contractual life of the stock option as the expected life. Such stock options consisted primarily of options issued to our board of directors that were immediately vested at issuance. Expected volatility is based on historical volatilities for publicly traded stock of comparable companies over the estimated expected life of the stock options.</w:t>
      </w:r>
    </w:p>
    <w:p>
      <w:pPr>
        <w:spacing w:after="0" w:line="224" w:lineRule="exact"/>
        <w:rPr>
          <w:sz w:val="20"/>
          <w:szCs w:val="20"/>
          <w:color w:val="auto"/>
        </w:rPr>
      </w:pPr>
    </w:p>
    <w:p>
      <w:pPr>
        <w:ind w:right="460" w:firstLine="486"/>
        <w:spacing w:after="0" w:line="264" w:lineRule="auto"/>
        <w:rPr>
          <w:sz w:val="20"/>
          <w:szCs w:val="20"/>
          <w:color w:val="auto"/>
        </w:rPr>
      </w:pPr>
      <w:r>
        <w:rPr>
          <w:rFonts w:ascii="Arial" w:cs="Arial" w:eastAsia="Arial" w:hAnsi="Arial"/>
          <w:sz w:val="18"/>
          <w:szCs w:val="18"/>
          <w:color w:val="auto"/>
        </w:rPr>
        <w:t>We based our estimate of pre-vesting forfeitures, or forfeiture rate, on historical forfeiture rates. We apply the estimated forfeiture rate to the total estimated fair value of the awards, as derived from the Black-Scholes model, to compute the stock-based compensation expenses, net of pre-vesting forfeitures, to be recognized in our consolidated statements of operations.</w:t>
      </w:r>
    </w:p>
    <w:p>
      <w:pPr>
        <w:spacing w:after="0" w:line="204" w:lineRule="exact"/>
        <w:rPr>
          <w:sz w:val="20"/>
          <w:szCs w:val="20"/>
          <w:color w:val="auto"/>
        </w:rPr>
      </w:pPr>
    </w:p>
    <w:p>
      <w:pPr>
        <w:jc w:val="center"/>
        <w:ind w:right="9740"/>
        <w:spacing w:after="0"/>
        <w:rPr>
          <w:sz w:val="20"/>
          <w:szCs w:val="20"/>
          <w:color w:val="auto"/>
        </w:rPr>
      </w:pPr>
      <w:r>
        <w:rPr>
          <w:rFonts w:ascii="Arial" w:cs="Arial" w:eastAsia="Arial" w:hAnsi="Arial"/>
          <w:sz w:val="16"/>
          <w:szCs w:val="16"/>
          <w:b w:val="1"/>
          <w:bCs w:val="1"/>
          <w:color w:val="auto"/>
        </w:rPr>
        <w:t>Results of Operations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record any revenue during the three months ended March 31, 2015 and 2014.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ind w:left="500"/>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Pr>
          <w:p>
            <w:pPr>
              <w:spacing w:after="0"/>
              <w:rPr>
                <w:sz w:val="18"/>
                <w:szCs w:val="18"/>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Increase</w:t>
            </w:r>
          </w:p>
        </w:tc>
        <w:tc>
          <w:tcPr>
            <w:tcW w:w="1600" w:type="dxa"/>
            <w:vAlign w:val="bottom"/>
          </w:tcPr>
          <w:p>
            <w:pPr>
              <w:jc w:val="right"/>
              <w:ind w:right="37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(Decrease)</w:t>
            </w: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Labor</w:t>
            </w:r>
          </w:p>
        </w:tc>
        <w:tc>
          <w:tcPr>
            <w:tcW w:w="20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526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Consumables</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1,335</w:t>
            </w:r>
          </w:p>
        </w:tc>
        <w:tc>
          <w:tcPr>
            <w:tcW w:w="4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32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870</w:t>
            </w:r>
          </w:p>
        </w:tc>
        <w:tc>
          <w:tcPr>
            <w:tcW w:w="16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2,689</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2,365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4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383</w:t>
            </w:r>
          </w:p>
        </w:tc>
        <w:tc>
          <w:tcPr>
            <w:tcW w:w="160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c>
          <w:tcPr>
            <w:tcW w:w="4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3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291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4"/>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20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6,784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2,350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70"/>
              <w:spacing w:after="0"/>
              <w:rPr>
                <w:sz w:val="20"/>
                <w:szCs w:val="20"/>
                <w:color w:val="auto"/>
              </w:rPr>
            </w:pPr>
            <w:r>
              <w:rPr>
                <w:rFonts w:ascii="Arial" w:cs="Arial" w:eastAsia="Arial" w:hAnsi="Arial"/>
                <w:sz w:val="18"/>
                <w:szCs w:val="18"/>
                <w:color w:val="auto"/>
              </w:rPr>
              <w:t>4,435</w:t>
            </w:r>
          </w:p>
        </w:tc>
        <w:tc>
          <w:tcPr>
            <w:tcW w:w="1600" w:type="dxa"/>
            <w:vAlign w:val="bottom"/>
          </w:tcPr>
          <w:p>
            <w:pPr>
              <w:jc w:val="right"/>
              <w:spacing w:after="0"/>
              <w:rPr>
                <w:sz w:val="20"/>
                <w:szCs w:val="20"/>
                <w:color w:val="auto"/>
              </w:rPr>
            </w:pPr>
            <w:r>
              <w:rPr>
                <w:rFonts w:ascii="Arial" w:cs="Arial" w:eastAsia="Arial" w:hAnsi="Arial"/>
                <w:sz w:val="18"/>
                <w:szCs w:val="18"/>
                <w:color w:val="auto"/>
              </w:rPr>
              <w:t>189%</w:t>
            </w:r>
          </w:p>
        </w:tc>
      </w:tr>
    </w:tbl>
    <w:p>
      <w:pPr>
        <w:spacing w:after="0" w:line="214"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74"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Research and development expenses increased by $4.4 million to $6.8 million for the three months ended March 31, 2015, compared to $2.4 million for the three months ended March 31, 2014. This increase was principally due to a $2.4 million increase in clinical trial activities mainly in Europe. The costs for research and development used consumables increased due to the increase of research and development as well as manufacturing processing development activities. Labor costs also increased due to the increase of current employee’s salaries and increase in the size of the workforce. Stock-based compensation increased due to the stock options awarded in 2014 and the continuing vesting of such awards.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480" w:type="dxa"/>
            <w:vAlign w:val="bottom"/>
          </w:tcPr>
          <w:p>
            <w:pPr>
              <w:spacing w:after="0"/>
              <w:rPr>
                <w:sz w:val="18"/>
                <w:szCs w:val="18"/>
                <w:color w:val="auto"/>
              </w:rPr>
            </w:pP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Increase</w:t>
            </w: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46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(Decrease)</w:t>
            </w: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Labor</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Patent filing expense</w:t>
            </w: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7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480" w:type="dxa"/>
            <w:vAlign w:val="bottom"/>
          </w:tcPr>
          <w:p>
            <w:pPr>
              <w:spacing w:after="0"/>
              <w:rPr>
                <w:sz w:val="18"/>
                <w:szCs w:val="18"/>
                <w:color w:val="auto"/>
              </w:rPr>
            </w:pP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84</w:t>
            </w:r>
          </w:p>
        </w:tc>
        <w:tc>
          <w:tcPr>
            <w:tcW w:w="1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1,768</w:t>
            </w: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(1,001)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Professional fees</w:t>
            </w:r>
          </w:p>
        </w:tc>
        <w:tc>
          <w:tcPr>
            <w:tcW w:w="4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7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8"/>
                <w:szCs w:val="18"/>
                <w:color w:val="auto"/>
              </w:rPr>
            </w:pPr>
          </w:p>
        </w:tc>
        <w:tc>
          <w:tcPr>
            <w:tcW w:w="154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4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16"/>
        </w:trPr>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7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4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37</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4"/>
        </w:trPr>
        <w:tc>
          <w:tcPr>
            <w:tcW w:w="46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1,421</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2,154</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(733)</w:t>
            </w:r>
          </w:p>
        </w:tc>
        <w:tc>
          <w:tcPr>
            <w:tcW w:w="14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14"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General and administrative expense decreased by $0.7 million to $1.4 million for the three months ended March 31, 2015, compared to $2.2 million for the three months ended March 31, 2014. The decrease was primarily related to decreases in stock–based compensation expenses of $1.0 million, due to the grant of stock options to consultants and board members in 2014 that were fully vested.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97"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Since our inception on March 22, 2005 through March 31, 2015, we have funded our operations principally through the private placement of equity securities, which have provided aggregate cash proceeds of approximately $132.0 million. The following table summarizes our sources and uses of cash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34"/>
        </w:trPr>
        <w:tc>
          <w:tcPr>
            <w:tcW w:w="8120" w:type="dxa"/>
            <w:vAlign w:val="bottom"/>
            <w:gridSpan w:val="2"/>
          </w:tcPr>
          <w:p>
            <w:pPr>
              <w:spacing w:after="0"/>
              <w:rPr>
                <w:sz w:val="20"/>
                <w:szCs w:val="20"/>
                <w:color w:val="auto"/>
              </w:rPr>
            </w:pPr>
            <w:r>
              <w:rPr>
                <w:rFonts w:ascii="Arial" w:cs="Arial" w:eastAsia="Arial" w:hAnsi="Arial"/>
                <w:sz w:val="18"/>
                <w:szCs w:val="18"/>
                <w:color w:val="auto"/>
              </w:rPr>
              <w:t>Net cash (used in) provided by:</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11,605</w:t>
            </w: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change in cash and cash equivalents excluding foreign exchange rate effect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(4,995)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9,208</w:t>
            </w: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the three months ended March 31, 2015 and 2014, our operating activities used net cash of $6.5 million and $2.3 million, respectively. The use of net cash in each of these periods primarily resulted from our net losses. The increase in net loss from operations for the three months ended March 31, 2015 as compared to the three months ended March 31, 2014 was due to increases in clinical trial activities in Europe.</w:t>
      </w:r>
    </w:p>
    <w:p>
      <w:pPr>
        <w:spacing w:after="0" w:line="19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During the three months ended March 31, 2015 and 2014, our investing activities used net cash of $0.6 million and $0.1 million, respectively. We spent approximately $315 thousand more on the construction of new facilities during the three months ended March 31, 2015 compared to the three months ended March 31, 2014. We also spent $126 thousand more on purchases of research and development equipment during the three months ended March 31, 2015 compared to the three months ended March 31, 2014.</w:t>
      </w:r>
    </w:p>
    <w:p>
      <w:pPr>
        <w:spacing w:after="0" w:line="214"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During the three months ended March 31, 2015 and 2014, our financing activities provided net cash proceeds of $2.1 million and $11.6 million, respectively. During the three months ended March 31,2015, we received requests from investors for the exercise of warrants to purchase a total of 164,999 shares of common stock at $15.00 per share for a total of approximately $2.4 million in net proceeds, which is compared to a total of 1,195,000 shares of common stock issued at $10.00 per share for a total of approximately $11.6 million in net proceeds for the three months ended March 31, 2014. During the three months ended March 31, 2015, we incurred deferred offering costs of $712 thousand, which consist of direct incremental legal, accounting and other professional service fees related to our IPO. In January 2015, we received the previously outstanding subscription receivable in the amount of $410 thousand.</w:t>
      </w:r>
    </w:p>
    <w:p>
      <w:pPr>
        <w:spacing w:after="0" w:line="192" w:lineRule="exact"/>
        <w:rPr>
          <w:sz w:val="20"/>
          <w:szCs w:val="20"/>
          <w:color w:val="auto"/>
        </w:rPr>
      </w:pPr>
    </w:p>
    <w:p>
      <w:pPr>
        <w:jc w:val="both"/>
        <w:ind w:right="460" w:firstLine="486"/>
        <w:spacing w:after="0" w:line="264" w:lineRule="auto"/>
        <w:rPr>
          <w:sz w:val="20"/>
          <w:szCs w:val="20"/>
          <w:color w:val="auto"/>
        </w:rPr>
      </w:pPr>
      <w:r>
        <w:rPr>
          <w:rFonts w:ascii="Arial" w:cs="Arial" w:eastAsia="Arial" w:hAnsi="Arial"/>
          <w:sz w:val="18"/>
          <w:szCs w:val="18"/>
          <w:color w:val="auto"/>
        </w:rPr>
        <w:t>We expect to continue to incur substantial operating losses in the future. We will not receive any product revenue until a drug candidate has been approved by the FDA or similar regulatory agencies in other countries and successfully commercialized. As of March 31, 2015, our principal sources of liquidity were our cash and cash equivalents, which totaled approximately $52.2 million.</w:t>
      </w:r>
    </w:p>
    <w:p>
      <w:pPr>
        <w:spacing w:after="0" w:line="20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On April 14, 2015, our registration statement on Form S-1 (File No. 333-201813) was declared effective by the Securities and Exchange Commission for our initial public offering pursuant to which we sold an aggregate of 4,000,000 shares of our common stock at a price to the public of $19.00 per share. The offering commenced as of April 14, 2015 and did not terminate before all of the securities registered in the registration statement were sold. On April 17, 2015, we closed the sale of such shares, resulting in net proceeds to us of approximately $70.9 million after deducting underwriting discounts and commissions of $3.8 million and other offering expenses of approximately $1.3 million. No payments were made by us to directors, officers or persons owning ten percent or more of our common stock or to their associates, or to our affiliates. There has been no material change in the planned use of proceeds from our initial public offering as described in our final prospectus filed with the Securities and Exchange Commission on April 16, 2015 pursuant to Rule 424(b).</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6" w:lineRule="exact"/>
        <w:rPr>
          <w:sz w:val="20"/>
          <w:szCs w:val="20"/>
          <w:color w:val="auto"/>
        </w:rPr>
      </w:pPr>
    </w:p>
    <w:p>
      <w:pPr>
        <w:ind w:right="340" w:firstLine="486"/>
        <w:spacing w:after="0" w:line="302" w:lineRule="auto"/>
        <w:rPr>
          <w:sz w:val="20"/>
          <w:szCs w:val="20"/>
          <w:color w:val="auto"/>
        </w:rPr>
      </w:pPr>
      <w:r>
        <w:rPr>
          <w:rFonts w:ascii="Arial" w:cs="Arial" w:eastAsia="Arial" w:hAnsi="Arial"/>
          <w:sz w:val="16"/>
          <w:szCs w:val="16"/>
          <w:color w:val="auto"/>
        </w:rPr>
        <w:t>On January 12, 2008, we entered a lease agreement to lease our facility in Austin, Texas. On September 15, 2010, we entered into a second lease agreement to lease additional space in Austin, Texas. On March 20, 2014, we extended the lease for an additional 21 months on the same terms and rental rates as the current lease. Rent expense was $105 thousand and $101 thousand for the three months ended March 31, 2015 and 2014, respectively. On February 28, 2015, we extended the lease for another 4 years. The future minimum lease payments are as follows as of March 31, 2015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Less than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More than</w:t>
            </w: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1 Year</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1 - 3 Years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3 - 5 Years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1,784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437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914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of Market Risks</w:t>
      </w:r>
    </w:p>
    <w:p>
      <w:pPr>
        <w:spacing w:after="0" w:line="256"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Management's Evaluation of our Disclosure Controls and Procedures</w:t>
      </w:r>
    </w:p>
    <w:p>
      <w:pPr>
        <w:spacing w:after="0" w:line="252"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Changes in Internal Control</w:t>
      </w:r>
    </w:p>
    <w:p>
      <w:pPr>
        <w:spacing w:after="0" w:line="256"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 w:name="page24"/>
    <w:bookmarkEnd w:id="23"/>
    <w:p>
      <w:pPr>
        <w:ind w:left="5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 to any material litigating or other material legal proceedings.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the risk factors previously disclosed in our final prospectus filed on April 16,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 Recent Sales of Unregistered Equity Securities</w:t>
      </w:r>
    </w:p>
    <w:p>
      <w:pPr>
        <w:spacing w:after="0" w:line="25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During the period between January 1, 2015 and March 31, 2015, seven investors exercised warrants to purchase a total of 164,999 shares of common stock at price of $15.00 per share for a total of approximately $2.4 million in net proceeds from these exercised warrants.</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During the period between January 1, 2015 through March 31, 2015, one option holder exercised 15,000 options at an exercise price of $0.55 per share for total proceeds to the Company of approximately $8,000.</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(b) Use of Proceeds from IPO</w:t>
      </w:r>
    </w:p>
    <w:p>
      <w:pPr>
        <w:spacing w:after="0" w:line="252"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On April 14, 2015, our registration statement on Form S-1 (File No. 333-201813) was declared effective by the Securities and Exchange Commission for our initial public offering pursuant to which we sold an aggregate of 4,000,000 shares of our common stock at a price to the public of $19.00 per share. W.R. Hambrecht + Co., Inc. acted as the sole underwriter. The offering commenced as of April 14, 2015 and did not terminate before all of the securities registered in the registration statement were sold. On April 17, 2015, we closed the sale of such shares, resulting in net proceeds to us of approximately $70.9 million after deducting underwriting discounts and commissions of $3.8 million and other offering expenses of approximately $1.3 million. No payments were made by us to directors, officers or persons owning ten percent or more of our common stock or to their associates, or to our affiliates.</w:t>
      </w:r>
    </w:p>
    <w:p>
      <w:pPr>
        <w:spacing w:after="0" w:line="192"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final prospectus filed with the Securities and Exchange Commission on April 16, 2015 pursuant to Rule 424(b). We are holding the balance of the net proceeds from the IPO in our CIBC USD account. As of May 27, 2015, we have not used any of the net offering proceeds.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31.1*</w:t>
            </w:r>
          </w:p>
        </w:tc>
        <w:tc>
          <w:tcPr>
            <w:tcW w:w="10180" w:type="dxa"/>
            <w:vAlign w:val="bottom"/>
          </w:tcPr>
          <w:p>
            <w:pPr>
              <w:ind w:left="460"/>
              <w:spacing w:after="0"/>
              <w:rPr>
                <w:sz w:val="20"/>
                <w:szCs w:val="20"/>
                <w:color w:val="auto"/>
              </w:rPr>
            </w:pPr>
            <w:r>
              <w:rPr>
                <w:rFonts w:ascii="Arial" w:cs="Arial" w:eastAsia="Arial" w:hAnsi="Arial"/>
                <w:sz w:val="18"/>
                <w:szCs w:val="18"/>
                <w:color w:val="auto"/>
                <w:w w:val="92"/>
              </w:rPr>
              <w:t>Certification of Principal Executive Officer Required Under Rule 13a-14(a) and 15d-14(a) of the Securities Exchange Act of 1934, as</w:t>
            </w:r>
          </w:p>
        </w:tc>
      </w:tr>
      <w:tr>
        <w:trPr>
          <w:trHeight w:val="230"/>
        </w:trPr>
        <w:tc>
          <w:tcPr>
            <w:tcW w:w="620" w:type="dxa"/>
            <w:vAlign w:val="bottom"/>
          </w:tcPr>
          <w:p>
            <w:pPr>
              <w:spacing w:after="0"/>
              <w:rPr>
                <w:sz w:val="20"/>
                <w:szCs w:val="20"/>
                <w:color w:val="auto"/>
              </w:rPr>
            </w:pPr>
          </w:p>
        </w:tc>
        <w:tc>
          <w:tcPr>
            <w:tcW w:w="10180" w:type="dxa"/>
            <w:vAlign w:val="bottom"/>
          </w:tcPr>
          <w:p>
            <w:pPr>
              <w:ind w:left="140"/>
              <w:spacing w:after="0"/>
              <w:rPr>
                <w:sz w:val="20"/>
                <w:szCs w:val="20"/>
                <w:color w:val="auto"/>
              </w:rPr>
            </w:pPr>
            <w:r>
              <w:rPr>
                <w:rFonts w:ascii="Arial" w:cs="Arial" w:eastAsia="Arial" w:hAnsi="Arial"/>
                <w:sz w:val="18"/>
                <w:szCs w:val="18"/>
                <w:color w:val="auto"/>
              </w:rPr>
              <w:t>amended.</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10180" w:type="dxa"/>
            <w:vAlign w:val="bottom"/>
          </w:tcPr>
          <w:p>
            <w:pPr>
              <w:ind w:left="460"/>
              <w:spacing w:after="0"/>
              <w:rPr>
                <w:sz w:val="20"/>
                <w:szCs w:val="20"/>
                <w:color w:val="auto"/>
              </w:rPr>
            </w:pPr>
            <w:r>
              <w:rPr>
                <w:rFonts w:ascii="Arial" w:cs="Arial" w:eastAsia="Arial" w:hAnsi="Arial"/>
                <w:sz w:val="18"/>
                <w:szCs w:val="18"/>
                <w:color w:val="auto"/>
                <w:w w:val="92"/>
              </w:rPr>
              <w:t>Certification of Principal Financial Officer Required Under Rule 13a-14(a) and 15d-14(a) of the Securities Exchange Act of 1934, as</w:t>
            </w:r>
          </w:p>
        </w:tc>
      </w:tr>
      <w:tr>
        <w:trPr>
          <w:trHeight w:val="230"/>
        </w:trPr>
        <w:tc>
          <w:tcPr>
            <w:tcW w:w="620" w:type="dxa"/>
            <w:vAlign w:val="bottom"/>
          </w:tcPr>
          <w:p>
            <w:pPr>
              <w:spacing w:after="0"/>
              <w:rPr>
                <w:sz w:val="20"/>
                <w:szCs w:val="20"/>
                <w:color w:val="auto"/>
              </w:rPr>
            </w:pPr>
          </w:p>
        </w:tc>
        <w:tc>
          <w:tcPr>
            <w:tcW w:w="10180" w:type="dxa"/>
            <w:vAlign w:val="bottom"/>
          </w:tcPr>
          <w:p>
            <w:pPr>
              <w:ind w:left="140"/>
              <w:spacing w:after="0"/>
              <w:rPr>
                <w:sz w:val="20"/>
                <w:szCs w:val="20"/>
                <w:color w:val="auto"/>
              </w:rPr>
            </w:pPr>
            <w:r>
              <w:rPr>
                <w:rFonts w:ascii="Arial" w:cs="Arial" w:eastAsia="Arial" w:hAnsi="Arial"/>
                <w:sz w:val="18"/>
                <w:szCs w:val="18"/>
                <w:color w:val="auto"/>
              </w:rPr>
              <w:t>amended.</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10180" w:type="dxa"/>
            <w:vAlign w:val="bottom"/>
          </w:tcPr>
          <w:p>
            <w:pPr>
              <w:ind w:left="460"/>
              <w:spacing w:after="0"/>
              <w:rPr>
                <w:sz w:val="20"/>
                <w:szCs w:val="20"/>
                <w:color w:val="auto"/>
              </w:rPr>
            </w:pPr>
            <w:r>
              <w:rPr>
                <w:rFonts w:ascii="Arial" w:cs="Arial" w:eastAsia="Arial" w:hAnsi="Arial"/>
                <w:sz w:val="18"/>
                <w:szCs w:val="18"/>
                <w:color w:val="auto"/>
                <w:w w:val="92"/>
              </w:rPr>
              <w:t>Certification of Principal Executive Officer and Principal Financial Officer Required Under Rule 13a-14(b) of the Securities Exchange</w:t>
            </w:r>
          </w:p>
        </w:tc>
      </w:tr>
      <w:tr>
        <w:trPr>
          <w:trHeight w:val="230"/>
        </w:trPr>
        <w:tc>
          <w:tcPr>
            <w:tcW w:w="620" w:type="dxa"/>
            <w:vAlign w:val="bottom"/>
          </w:tcPr>
          <w:p>
            <w:pPr>
              <w:spacing w:after="0"/>
              <w:rPr>
                <w:sz w:val="20"/>
                <w:szCs w:val="20"/>
                <w:color w:val="auto"/>
              </w:rPr>
            </w:pPr>
          </w:p>
        </w:tc>
        <w:tc>
          <w:tcPr>
            <w:tcW w:w="10180" w:type="dxa"/>
            <w:vAlign w:val="bottom"/>
          </w:tcPr>
          <w:p>
            <w:pPr>
              <w:ind w:left="140"/>
              <w:spacing w:after="0"/>
              <w:rPr>
                <w:sz w:val="20"/>
                <w:szCs w:val="20"/>
                <w:color w:val="auto"/>
              </w:rPr>
            </w:pPr>
            <w:r>
              <w:rPr>
                <w:rFonts w:ascii="Arial" w:cs="Arial" w:eastAsia="Arial" w:hAnsi="Arial"/>
                <w:sz w:val="18"/>
                <w:szCs w:val="18"/>
                <w:color w:val="auto"/>
              </w:rPr>
              <w:t>Act of 1934, as amended, and 18 U.S.C. §1350.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*Exhibits filed herewith.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**Exhibits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270" w:right="35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00"/>
        <w:spacing w:after="0"/>
        <w:tabs>
          <w:tab w:leader="none" w:pos="6020" w:val="left"/>
        </w:tabs>
        <w:rPr>
          <w:sz w:val="20"/>
          <w:szCs w:val="20"/>
          <w:color w:val="auto"/>
        </w:rPr>
      </w:pPr>
      <w:r>
        <w:rPr>
          <w:rFonts w:ascii="Arial" w:cs="Arial" w:eastAsia="Arial" w:hAnsi="Arial"/>
          <w:sz w:val="18"/>
          <w:szCs w:val="18"/>
          <w:color w:val="auto"/>
        </w:rPr>
        <w:t>Date: May 27, 2015</w:t>
      </w:r>
      <w:r>
        <w:rPr>
          <w:sz w:val="20"/>
          <w:szCs w:val="20"/>
          <w:color w:val="auto"/>
        </w:rPr>
        <w:tab/>
      </w:r>
      <w:r>
        <w:rPr>
          <w:rFonts w:ascii="Arial" w:cs="Arial" w:eastAsia="Arial" w:hAnsi="Arial"/>
          <w:sz w:val="18"/>
          <w:szCs w:val="18"/>
          <w:b w:val="1"/>
          <w:bCs w:val="1"/>
          <w:color w:val="auto"/>
        </w:rPr>
        <w:t>XBIOTECH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440" w:type="dxa"/>
            <w:vAlign w:val="bottom"/>
            <w:gridSpan w:val="2"/>
          </w:tcPr>
          <w:p>
            <w:pPr>
              <w:ind w:left="2060"/>
              <w:spacing w:after="0"/>
              <w:rPr>
                <w:sz w:val="20"/>
                <w:szCs w:val="20"/>
                <w:color w:val="auto"/>
              </w:rPr>
            </w:pPr>
            <w:r>
              <w:rPr>
                <w:rFonts w:ascii="Arial" w:cs="Arial" w:eastAsia="Arial" w:hAnsi="Arial"/>
                <w:sz w:val="18"/>
                <w:szCs w:val="18"/>
                <w:color w:val="auto"/>
              </w:rPr>
              <w:t>By:  /s/ John Simard</w:t>
            </w:r>
          </w:p>
        </w:tc>
      </w:tr>
      <w:tr>
        <w:trPr>
          <w:trHeight w:val="195"/>
        </w:trPr>
        <w:tc>
          <w:tcPr>
            <w:tcW w:w="34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3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President, Chief Executive Officer and Director (</w:t>
            </w:r>
            <w:r>
              <w:rPr>
                <w:rFonts w:ascii="Arial" w:cs="Arial" w:eastAsia="Arial" w:hAnsi="Arial"/>
                <w:sz w:val="18"/>
                <w:szCs w:val="18"/>
                <w:i w:val="1"/>
                <w:iCs w:val="1"/>
                <w:color w:val="auto"/>
                <w:w w:val="93"/>
              </w:rPr>
              <w:t>Principal Executive</w:t>
            </w:r>
          </w:p>
        </w:tc>
      </w:tr>
      <w:tr>
        <w:trPr>
          <w:trHeight w:val="230"/>
        </w:trPr>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27, 2015</w:t>
            </w:r>
          </w:p>
        </w:tc>
        <w:tc>
          <w:tcPr>
            <w:tcW w:w="7440" w:type="dxa"/>
            <w:vAlign w:val="bottom"/>
            <w:gridSpan w:val="2"/>
          </w:tcPr>
          <w:p>
            <w:pPr>
              <w:ind w:left="2060"/>
              <w:spacing w:after="0"/>
              <w:rPr>
                <w:sz w:val="20"/>
                <w:szCs w:val="20"/>
                <w:color w:val="auto"/>
              </w:rPr>
            </w:pPr>
            <w:r>
              <w:rPr>
                <w:rFonts w:ascii="Arial" w:cs="Arial" w:eastAsia="Arial" w:hAnsi="Arial"/>
                <w:sz w:val="18"/>
                <w:szCs w:val="18"/>
                <w:color w:val="auto"/>
              </w:rPr>
              <w:t>By:  /s/ Queena Han</w:t>
            </w:r>
          </w:p>
        </w:tc>
      </w:tr>
      <w:tr>
        <w:trPr>
          <w:trHeight w:val="195"/>
        </w:trPr>
        <w:tc>
          <w:tcPr>
            <w:tcW w:w="34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Queena Han</w:t>
            </w:r>
          </w:p>
        </w:tc>
      </w:tr>
      <w:tr>
        <w:trPr>
          <w:trHeight w:val="216"/>
        </w:trPr>
        <w:tc>
          <w:tcPr>
            <w:tcW w:w="3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9"/>
              </w:rPr>
              <w:t>Vice President, Finance and Human Resources, and Secretary</w:t>
            </w:r>
          </w:p>
        </w:tc>
      </w:tr>
      <w:tr>
        <w:trPr>
          <w:trHeight w:val="230"/>
        </w:trPr>
        <w:tc>
          <w:tcPr>
            <w:tcW w:w="3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6" w:name="page27"/>
    <w:bookmarkEnd w:id="26"/>
    <w:p>
      <w:pPr>
        <w:ind w:left="5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ind w:left="50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6100" w:type="dxa"/>
            <w:vAlign w:val="bottom"/>
          </w:tcPr>
          <w:p>
            <w:pPr>
              <w:spacing w:after="0"/>
              <w:rPr>
                <w:sz w:val="18"/>
                <w:szCs w:val="18"/>
                <w:color w:val="auto"/>
              </w:rPr>
            </w:pPr>
          </w:p>
        </w:tc>
      </w:tr>
      <w:tr>
        <w:trPr>
          <w:trHeight w:val="234"/>
        </w:trPr>
        <w:tc>
          <w:tcPr>
            <w:tcW w:w="21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61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Description of Document</w:t>
            </w:r>
          </w:p>
        </w:tc>
      </w:tr>
      <w:tr>
        <w:trPr>
          <w:trHeight w:val="195"/>
        </w:trPr>
        <w:tc>
          <w:tcPr>
            <w:tcW w:w="2120" w:type="dxa"/>
            <w:vAlign w:val="bottom"/>
          </w:tcPr>
          <w:p>
            <w:pPr>
              <w:ind w:left="500"/>
              <w:spacing w:after="0" w:line="195"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6100" w:type="dxa"/>
            <w:vAlign w:val="bottom"/>
          </w:tcPr>
          <w:p>
            <w:pPr>
              <w:ind w:left="480"/>
              <w:spacing w:after="0" w:line="195" w:lineRule="exact"/>
              <w:rPr>
                <w:sz w:val="20"/>
                <w:szCs w:val="20"/>
                <w:color w:val="auto"/>
              </w:rPr>
            </w:pPr>
            <w:r>
              <w:rPr>
                <w:rFonts w:ascii="Arial" w:cs="Arial" w:eastAsia="Arial" w:hAnsi="Arial"/>
                <w:sz w:val="18"/>
                <w:szCs w:val="18"/>
                <w:color w:val="auto"/>
                <w:w w:val="95"/>
              </w:rPr>
              <w:t>Certification of Principal Executive Officer Required Under Rule 13a-14(a)</w:t>
            </w:r>
          </w:p>
        </w:tc>
      </w:tr>
      <w:tr>
        <w:trPr>
          <w:trHeight w:val="230"/>
        </w:trPr>
        <w:tc>
          <w:tcPr>
            <w:tcW w:w="2120" w:type="dxa"/>
            <w:vAlign w:val="bottom"/>
          </w:tcPr>
          <w:p>
            <w:pPr>
              <w:spacing w:after="0"/>
              <w:rPr>
                <w:sz w:val="20"/>
                <w:szCs w:val="20"/>
                <w:color w:val="auto"/>
              </w:rPr>
            </w:pP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and 15d-14(a) of the Securities Exchange Act of 1934, as amended.</w:t>
            </w:r>
          </w:p>
        </w:tc>
      </w:tr>
      <w:tr>
        <w:trPr>
          <w:trHeight w:val="418"/>
        </w:trPr>
        <w:tc>
          <w:tcPr>
            <w:tcW w:w="2120" w:type="dxa"/>
            <w:vAlign w:val="bottom"/>
          </w:tcPr>
          <w:p>
            <w:pPr>
              <w:ind w:left="5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6100" w:type="dxa"/>
            <w:vAlign w:val="bottom"/>
          </w:tcPr>
          <w:p>
            <w:pPr>
              <w:ind w:left="480"/>
              <w:spacing w:after="0"/>
              <w:rPr>
                <w:sz w:val="20"/>
                <w:szCs w:val="20"/>
                <w:color w:val="auto"/>
              </w:rPr>
            </w:pPr>
            <w:r>
              <w:rPr>
                <w:rFonts w:ascii="Arial" w:cs="Arial" w:eastAsia="Arial" w:hAnsi="Arial"/>
                <w:sz w:val="18"/>
                <w:szCs w:val="18"/>
                <w:color w:val="auto"/>
                <w:w w:val="96"/>
              </w:rPr>
              <w:t>Certification of Principal Financial Officer Required Under Rule 13a-14(a)</w:t>
            </w:r>
          </w:p>
        </w:tc>
      </w:tr>
      <w:tr>
        <w:trPr>
          <w:trHeight w:val="230"/>
        </w:trPr>
        <w:tc>
          <w:tcPr>
            <w:tcW w:w="2120" w:type="dxa"/>
            <w:vAlign w:val="bottom"/>
          </w:tcPr>
          <w:p>
            <w:pPr>
              <w:spacing w:after="0"/>
              <w:rPr>
                <w:sz w:val="20"/>
                <w:szCs w:val="20"/>
                <w:color w:val="auto"/>
              </w:rPr>
            </w:pP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and 15d-14(a) of the Securities Exchange Act of 1934, as amended.</w:t>
            </w:r>
          </w:p>
        </w:tc>
      </w:tr>
      <w:tr>
        <w:trPr>
          <w:trHeight w:val="418"/>
        </w:trPr>
        <w:tc>
          <w:tcPr>
            <w:tcW w:w="2120" w:type="dxa"/>
            <w:vAlign w:val="bottom"/>
          </w:tcPr>
          <w:p>
            <w:pPr>
              <w:ind w:left="5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6100" w:type="dxa"/>
            <w:vAlign w:val="bottom"/>
          </w:tcPr>
          <w:p>
            <w:pPr>
              <w:ind w:left="480"/>
              <w:spacing w:after="0"/>
              <w:rPr>
                <w:sz w:val="20"/>
                <w:szCs w:val="20"/>
                <w:color w:val="auto"/>
              </w:rPr>
            </w:pPr>
            <w:r>
              <w:rPr>
                <w:rFonts w:ascii="Arial" w:cs="Arial" w:eastAsia="Arial" w:hAnsi="Arial"/>
                <w:sz w:val="18"/>
                <w:szCs w:val="18"/>
                <w:color w:val="auto"/>
                <w:w w:val="97"/>
              </w:rPr>
              <w:t>Certification of Principal Executive Officer and Principal Financial Officer</w:t>
            </w:r>
          </w:p>
        </w:tc>
      </w:tr>
      <w:tr>
        <w:trPr>
          <w:trHeight w:val="216"/>
        </w:trPr>
        <w:tc>
          <w:tcPr>
            <w:tcW w:w="2120" w:type="dxa"/>
            <w:vAlign w:val="bottom"/>
          </w:tcPr>
          <w:p>
            <w:pPr>
              <w:spacing w:after="0"/>
              <w:rPr>
                <w:sz w:val="18"/>
                <w:szCs w:val="18"/>
                <w:color w:val="auto"/>
              </w:rPr>
            </w:pP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Required Under Rule 13a-14(b) of the Securities Exchange Act of 1934, as</w:t>
            </w:r>
          </w:p>
        </w:tc>
      </w:tr>
      <w:tr>
        <w:trPr>
          <w:trHeight w:val="230"/>
        </w:trPr>
        <w:tc>
          <w:tcPr>
            <w:tcW w:w="2120" w:type="dxa"/>
            <w:vAlign w:val="bottom"/>
          </w:tcPr>
          <w:p>
            <w:pPr>
              <w:spacing w:after="0"/>
              <w:rPr>
                <w:sz w:val="20"/>
                <w:szCs w:val="20"/>
                <w:color w:val="auto"/>
              </w:rPr>
            </w:pP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amended, and 18 U.S.C. §1350.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*Exhibits filed herewith.</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**Exhibits furnished herewith.</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52"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52"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980" w:right="120"/>
        <w:spacing w:after="0" w:line="264" w:lineRule="auto"/>
        <w:tabs>
          <w:tab w:leader="none" w:pos="12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right="520"/>
        <w:spacing w:after="0" w:line="342" w:lineRule="auto"/>
        <w:tabs>
          <w:tab w:leader="none" w:pos="12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20"/>
        <w:spacing w:after="0" w:line="264" w:lineRule="auto"/>
        <w:tabs>
          <w:tab w:leader="none" w:pos="12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680"/>
        <w:spacing w:after="0" w:line="308" w:lineRule="auto"/>
        <w:tabs>
          <w:tab w:leader="none" w:pos="1245"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380"/>
        <w:spacing w:after="0" w:line="277" w:lineRule="auto"/>
        <w:tabs>
          <w:tab w:leader="none" w:pos="12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27, 2015</w:t>
      </w:r>
    </w:p>
    <w:p>
      <w:pPr>
        <w:spacing w:after="0" w:line="252" w:lineRule="exact"/>
        <w:rPr>
          <w:sz w:val="20"/>
          <w:szCs w:val="20"/>
          <w:color w:val="auto"/>
        </w:rPr>
      </w:pPr>
    </w:p>
    <w:p>
      <w:pPr>
        <w:jc w:val="right"/>
        <w:ind w:right="4780"/>
        <w:spacing w:after="0"/>
        <w:rPr>
          <w:sz w:val="20"/>
          <w:szCs w:val="20"/>
          <w:color w:val="auto"/>
        </w:rPr>
      </w:pPr>
      <w:r>
        <w:rPr>
          <w:rFonts w:ascii="Arial" w:cs="Arial" w:eastAsia="Arial" w:hAnsi="Arial"/>
          <w:sz w:val="18"/>
          <w:szCs w:val="18"/>
          <w:u w:val="single" w:color="auto"/>
          <w:color w:val="auto"/>
        </w:rPr>
        <w:t>/s/ John Simard</w:t>
      </w:r>
    </w:p>
    <w:p>
      <w:pPr>
        <w:spacing w:after="0" w:line="23" w:lineRule="exact"/>
        <w:rPr>
          <w:sz w:val="20"/>
          <w:szCs w:val="20"/>
          <w:color w:val="auto"/>
        </w:rPr>
      </w:pPr>
    </w:p>
    <w:p>
      <w:pPr>
        <w:jc w:val="right"/>
        <w:ind w:right="4840"/>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52"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52"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980" w:right="120"/>
        <w:spacing w:after="0" w:line="264" w:lineRule="auto"/>
        <w:tabs>
          <w:tab w:leader="none" w:pos="12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right="520"/>
        <w:spacing w:after="0" w:line="342" w:lineRule="auto"/>
        <w:tabs>
          <w:tab w:leader="none" w:pos="12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20"/>
        <w:spacing w:after="0" w:line="264" w:lineRule="auto"/>
        <w:tabs>
          <w:tab w:leader="none" w:pos="12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680"/>
        <w:spacing w:after="0" w:line="308" w:lineRule="auto"/>
        <w:tabs>
          <w:tab w:leader="none" w:pos="1245"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380"/>
        <w:spacing w:after="0" w:line="277" w:lineRule="auto"/>
        <w:tabs>
          <w:tab w:leader="none" w:pos="12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27, 2015</w:t>
      </w:r>
    </w:p>
    <w:p>
      <w:pPr>
        <w:spacing w:after="0" w:line="252" w:lineRule="exact"/>
        <w:rPr>
          <w:sz w:val="20"/>
          <w:szCs w:val="20"/>
          <w:color w:val="auto"/>
        </w:rPr>
      </w:pPr>
    </w:p>
    <w:p>
      <w:pPr>
        <w:ind w:left="5520"/>
        <w:spacing w:after="0"/>
        <w:rPr>
          <w:sz w:val="20"/>
          <w:szCs w:val="20"/>
          <w:color w:val="auto"/>
        </w:rPr>
      </w:pPr>
      <w:r>
        <w:rPr>
          <w:rFonts w:ascii="Arial" w:cs="Arial" w:eastAsia="Arial" w:hAnsi="Arial"/>
          <w:sz w:val="18"/>
          <w:szCs w:val="18"/>
          <w:u w:val="single" w:color="auto"/>
          <w:color w:val="auto"/>
        </w:rPr>
        <w:t>/s/Queena Han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In connection with the Quarterly Report of XBiotech Inc. (the “Company”) on Form 10-K for the period ended March 31, 2015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93" w:lineRule="exact"/>
        <w:rPr>
          <w:sz w:val="20"/>
          <w:szCs w:val="20"/>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t>
      </w:r>
      <w:r>
        <w:rPr>
          <w:rFonts w:ascii="Arial" w:cs="Arial" w:eastAsia="Arial" w:hAnsi="Arial"/>
          <w:sz w:val="18"/>
          <w:szCs w:val="18"/>
          <w:b w:val="1"/>
          <w:bCs w:val="1"/>
          <w:u w:val="single" w:color="auto"/>
          <w:color w:val="auto"/>
        </w:rPr>
        <w:t>JOHN SIMARD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Simard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27, 2015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In connection with the Quarterly Report of XBiotech Inc. (the “Company”) on Form 10-Q for the period ended March 31, 2015,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74" w:lineRule="exact"/>
        <w:rPr>
          <w:sz w:val="20"/>
          <w:szCs w:val="20"/>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 QUEENA HAN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Queena 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27, 2015</w:t>
      </w:r>
    </w:p>
    <w:p>
      <w:pPr>
        <w:spacing w:after="0" w:line="200" w:lineRule="exact"/>
        <w:rPr>
          <w:sz w:val="20"/>
          <w:szCs w:val="20"/>
          <w:color w:val="auto"/>
        </w:rPr>
      </w:pPr>
    </w:p>
    <w:p>
      <w:pPr>
        <w:spacing w:after="0" w:line="2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3"/>
    </w:lvl>
  </w:abstractNum>
  <w:abstractNum w:abstractNumId="9">
    <w:nsid w:val="DED7263"/>
    <w:multiLevelType w:val="hybridMultilevel"/>
    <w:lvl w:ilvl="0">
      <w:lvlJc w:val="left"/>
      <w:lvlText w:val="%1."/>
      <w:numFmt w:val="decimal"/>
      <w:start w:val="4"/>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decimal"/>
      <w:start w:val="6"/>
    </w:lvl>
  </w:abstractNum>
  <w:abstractNum w:abstractNumId="12">
    <w:nsid w:val="41A7C4C9"/>
    <w:multiLevelType w:val="hybridMultilevel"/>
    <w:lvl w:ilvl="0">
      <w:lvlJc w:val="left"/>
      <w:lvlText w:val="%1."/>
      <w:numFmt w:val="decimal"/>
      <w:start w:val="7"/>
    </w:lvl>
  </w:abstractNum>
  <w:abstractNum w:abstractNumId="13">
    <w:nsid w:val="6B68079A"/>
    <w:multiLevelType w:val="hybridMultilevel"/>
    <w:lvl w:ilvl="0">
      <w:lvlJc w:val="left"/>
      <w:lvlText w:val="%1."/>
      <w:numFmt w:val="decimal"/>
      <w:start w:val="8"/>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2019-12-29T17:10:01Z</dcterms:created>
  <dcterms:modified xsi:type="dcterms:W3CDTF">2019-12-29T17:10:01Z</dcterms:modified>
</cp:coreProperties>
</file>