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ind w:left="3980" w:right="3960" w:hanging="3972"/>
        <w:spacing w:after="0" w:line="293" w:lineRule="auto"/>
        <w:tabs>
          <w:tab w:leader="none" w:pos="595"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2018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4320" w:right="4020" w:hanging="4312"/>
        <w:spacing w:after="0" w:line="547" w:lineRule="auto"/>
        <w:tabs>
          <w:tab w:leader="none" w:pos="592"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Commission File Number 001-37437</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XBIOTECH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420"/>
          </w:cols>
          <w:pgMar w:left="240" w:top="206" w:right="23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British Columbia, Canada</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__</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206" w:right="23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8201 E. Riverside Drive, Bldg. 4, Suite 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Austin, TX 78744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offices)(Zip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Number (512) 386-2900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1"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4"/>
          <w:szCs w:val="24"/>
          <w:color w:val="auto"/>
        </w:rPr>
      </w:pPr>
    </w:p>
    <w:p>
      <w:pPr>
        <w:spacing w:after="0" w:line="207" w:lineRule="exact"/>
        <w:tabs>
          <w:tab w:leader="none" w:pos="7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0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type w:val="continuous"/>
        </w:sectPr>
      </w:pPr>
    </w:p>
    <w:bookmarkStart w:id="1" w:name="page2"/>
    <w:bookmarkEnd w:id="1"/>
    <w:p>
      <w:pPr>
        <w:ind w:right="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8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ind w:left="880"/>
              <w:spacing w:after="0"/>
              <w:rPr>
                <w:sz w:val="20"/>
                <w:szCs w:val="20"/>
                <w:color w:val="auto"/>
              </w:rPr>
            </w:pPr>
            <w:r>
              <w:rPr>
                <w:rFonts w:ascii="Arial" w:cs="Arial" w:eastAsia="Arial" w:hAnsi="Arial"/>
                <w:sz w:val="18"/>
                <w:szCs w:val="18"/>
                <w:color w:val="auto"/>
              </w:rPr>
              <w:t>Accelerated filer</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4820" w:type="dxa"/>
            <w:vAlign w:val="bottom"/>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580" w:type="dxa"/>
            <w:vAlign w:val="bottom"/>
          </w:tcPr>
          <w:p>
            <w:pPr>
              <w:ind w:left="880"/>
              <w:spacing w:after="0"/>
              <w:rPr>
                <w:sz w:val="20"/>
                <w:szCs w:val="20"/>
                <w:color w:val="auto"/>
              </w:rPr>
            </w:pPr>
            <w:r>
              <w:rPr>
                <w:rFonts w:ascii="Arial" w:cs="Arial" w:eastAsia="Arial" w:hAnsi="Arial"/>
                <w:sz w:val="18"/>
                <w:szCs w:val="18"/>
                <w:color w:val="auto"/>
              </w:rPr>
              <w:t>Smaller reporting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580" w:type="dxa"/>
            <w:vAlign w:val="bottom"/>
          </w:tcPr>
          <w:p>
            <w:pPr>
              <w:ind w:left="880"/>
              <w:spacing w:after="0"/>
              <w:rPr>
                <w:sz w:val="20"/>
                <w:szCs w:val="20"/>
                <w:color w:val="auto"/>
              </w:rPr>
            </w:pPr>
            <w:r>
              <w:rPr>
                <w:rFonts w:ascii="Arial" w:cs="Arial" w:eastAsia="Arial" w:hAnsi="Arial"/>
                <w:sz w:val="18"/>
                <w:szCs w:val="18"/>
                <w:color w:val="auto"/>
              </w:rPr>
              <w:t>Emerging growth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As of August 9, 2018, there were 35,819,772 shares of the Registrant's common stock issued and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80"/>
          </w:cols>
          <w:pgMar w:left="240" w:top="692"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80" w:type="dxa"/>
            <w:vAlign w:val="bottom"/>
            <w:gridSpan w:val="10"/>
          </w:tcPr>
          <w:p>
            <w:pPr>
              <w:ind w:left="980"/>
              <w:spacing w:after="0"/>
              <w:rPr>
                <w:sz w:val="20"/>
                <w:szCs w:val="20"/>
                <w:color w:val="auto"/>
              </w:rPr>
            </w:pPr>
            <w:r>
              <w:rPr>
                <w:rFonts w:ascii="Arial" w:cs="Arial" w:eastAsia="Arial" w:hAnsi="Arial"/>
                <w:sz w:val="18"/>
                <w:szCs w:val="18"/>
                <w:b w:val="1"/>
                <w:bCs w:val="1"/>
                <w:color w:val="auto"/>
              </w:rPr>
              <w:t>PART I—FINANCIAL INFORMATION</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3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760" w:type="dxa"/>
            <w:vAlign w:val="bottom"/>
            <w:gridSpan w:val="4"/>
          </w:tcPr>
          <w:p>
            <w:pPr>
              <w:spacing w:after="0"/>
              <w:rPr>
                <w:sz w:val="20"/>
                <w:szCs w:val="20"/>
                <w:color w:val="auto"/>
              </w:rPr>
            </w:pPr>
            <w:r>
              <w:rPr>
                <w:rFonts w:ascii="Arial" w:cs="Arial" w:eastAsia="Arial" w:hAnsi="Arial"/>
                <w:sz w:val="18"/>
                <w:szCs w:val="18"/>
                <w:color w:val="auto"/>
                <w:w w:val="98"/>
              </w:rPr>
              <w:t>Consolidated Financial Statements</w:t>
            </w:r>
          </w:p>
        </w:tc>
        <w:tc>
          <w:tcPr>
            <w:tcW w:w="3160" w:type="dxa"/>
            <w:vAlign w:val="bottom"/>
            <w:tcBorders>
              <w:top w:val="single" w:sz="8" w:color="auto"/>
            </w:tcBorders>
            <w:gridSpan w:val="3"/>
          </w:tcPr>
          <w:p>
            <w:pPr>
              <w:spacing w:after="0"/>
              <w:rPr>
                <w:sz w:val="24"/>
                <w:szCs w:val="24"/>
                <w:color w:val="auto"/>
              </w:rPr>
            </w:pPr>
          </w:p>
        </w:tc>
        <w:tc>
          <w:tcPr>
            <w:tcW w:w="3940" w:type="dxa"/>
            <w:vAlign w:val="bottom"/>
            <w:gridSpan w:val="6"/>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180" w:type="dxa"/>
            <w:vAlign w:val="bottom"/>
            <w:gridSpan w:val="8"/>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Consolidated Balance Sheets as of June 30, 2018 (unaudited) and December 31, 2017</w:t>
              </w:r>
            </w:hyperlink>
          </w:p>
        </w:tc>
        <w:tc>
          <w:tcPr>
            <w:tcW w:w="3680" w:type="dxa"/>
            <w:vAlign w:val="bottom"/>
            <w:gridSpan w:val="5"/>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60" w:type="dxa"/>
            <w:vAlign w:val="bottom"/>
            <w:gridSpan w:val="1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Operations for the Three Months and Six Months Ended June 30, 2018 (unaudited) and 2017</w:t>
              </w:r>
            </w:hyperlink>
          </w:p>
        </w:tc>
        <w:tc>
          <w:tcPr>
            <w:tcW w:w="180" w:type="dxa"/>
            <w:vAlign w:val="bottom"/>
            <w:gridSpan w:val="2"/>
            <w:vMerge w:val="restart"/>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88"/>
        </w:trPr>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40" w:type="dxa"/>
            <w:vAlign w:val="bottom"/>
            <w:tcBorders>
              <w:top w:val="single" w:sz="8" w:color="0000EE"/>
            </w:tcBorders>
            <w:vMerge w:val="restart"/>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(unaudited)</w:t>
              </w:r>
            </w:hyperlink>
          </w:p>
        </w:tc>
        <w:tc>
          <w:tcPr>
            <w:tcW w:w="7880" w:type="dxa"/>
            <w:vAlign w:val="bottom"/>
            <w:tcBorders>
              <w:top w:val="single" w:sz="8" w:color="0000EE"/>
            </w:tcBorders>
            <w:gridSpan w:val="10"/>
            <w:vMerge w:val="restart"/>
          </w:tcPr>
          <w:p>
            <w:pPr>
              <w:spacing w:after="0"/>
              <w:rPr>
                <w:sz w:val="7"/>
                <w:szCs w:val="7"/>
                <w:color w:val="auto"/>
              </w:rPr>
            </w:pPr>
          </w:p>
        </w:tc>
        <w:tc>
          <w:tcPr>
            <w:tcW w:w="1140" w:type="dxa"/>
            <w:vAlign w:val="bottom"/>
            <w:gridSpan w:val="2"/>
            <w:vMerge w:val="restart"/>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40" w:type="dxa"/>
            <w:vAlign w:val="bottom"/>
            <w:tcBorders>
              <w:top w:val="single" w:sz="8" w:color="0000EE"/>
              <w:bottom w:val="single" w:sz="8" w:color="0000EE"/>
            </w:tcBorders>
            <w:vMerge w:val="continue"/>
          </w:tcPr>
          <w:p>
            <w:pPr>
              <w:spacing w:after="0"/>
              <w:rPr>
                <w:sz w:val="7"/>
                <w:szCs w:val="7"/>
                <w:color w:val="auto"/>
              </w:rPr>
            </w:pPr>
          </w:p>
        </w:tc>
        <w:tc>
          <w:tcPr>
            <w:tcW w:w="7880" w:type="dxa"/>
            <w:vAlign w:val="bottom"/>
            <w:tcBorders>
              <w:top w:val="single" w:sz="8" w:color="0000EE"/>
            </w:tcBorders>
            <w:gridSpan w:val="10"/>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60" w:type="dxa"/>
            <w:vAlign w:val="bottom"/>
            <w:gridSpan w:val="13"/>
          </w:tcPr>
          <w:p>
            <w:pPr>
              <w:spacing w:after="0"/>
              <w:rPr>
                <w:rFonts w:ascii="Arial" w:cs="Arial" w:eastAsia="Arial" w:hAnsi="Arial"/>
                <w:sz w:val="18"/>
                <w:szCs w:val="18"/>
                <w:color w:val="0000EE"/>
                <w:w w:val="98"/>
              </w:rPr>
            </w:pPr>
            <w:hyperlink w:anchor="page8">
              <w:r>
                <w:rPr>
                  <w:rFonts w:ascii="Arial" w:cs="Arial" w:eastAsia="Arial" w:hAnsi="Arial"/>
                  <w:sz w:val="18"/>
                  <w:szCs w:val="18"/>
                  <w:color w:val="0000EE"/>
                  <w:w w:val="98"/>
                </w:rPr>
                <w:t>Consolidated Statements of Comprehensive Loss for the Three Months and Six Months Ended June 30, 2018 (unaudited) and</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2017 (unaudited)</w:t>
              </w:r>
            </w:hyperlink>
          </w:p>
        </w:tc>
        <w:tc>
          <w:tcPr>
            <w:tcW w:w="820" w:type="dxa"/>
            <w:vAlign w:val="bottom"/>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60" w:type="dxa"/>
            <w:vAlign w:val="bottom"/>
            <w:gridSpan w:val="13"/>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Consolidated Statements of Cash Flows for Six Months Ended June 30, 2018 (unaudited) and 2017 (unaudited)</w:t>
              </w:r>
            </w:hyperlink>
          </w:p>
        </w:tc>
        <w:tc>
          <w:tcPr>
            <w:tcW w:w="180" w:type="dxa"/>
            <w:vAlign w:val="bottom"/>
            <w:gridSpan w:val="2"/>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20" w:type="dxa"/>
            <w:vAlign w:val="bottom"/>
            <w:gridSpan w:val="10"/>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Consolidated Financial Statements (unaudited)</w:t>
              </w:r>
            </w:hyperlink>
          </w:p>
        </w:tc>
        <w:tc>
          <w:tcPr>
            <w:tcW w:w="1840" w:type="dxa"/>
            <w:vAlign w:val="bottom"/>
            <w:gridSpan w:val="3"/>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10</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Item 2.</w:t>
              </w:r>
            </w:hyperlink>
          </w:p>
        </w:tc>
        <w:tc>
          <w:tcPr>
            <w:tcW w:w="860" w:type="dxa"/>
            <w:vAlign w:val="bottom"/>
          </w:tcPr>
          <w:p>
            <w:pPr>
              <w:spacing w:after="0"/>
              <w:rPr>
                <w:sz w:val="24"/>
                <w:szCs w:val="24"/>
                <w:color w:val="auto"/>
              </w:rPr>
            </w:pPr>
          </w:p>
        </w:tc>
        <w:tc>
          <w:tcPr>
            <w:tcW w:w="9860" w:type="dxa"/>
            <w:vAlign w:val="bottom"/>
            <w:gridSpan w:val="13"/>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7">
              <w:r>
                <w:rPr>
                  <w:rFonts w:ascii="Arial" w:cs="Arial" w:eastAsia="Arial" w:hAnsi="Arial"/>
                  <w:sz w:val="18"/>
                  <w:szCs w:val="18"/>
                  <w:color w:val="0000EE"/>
                  <w:w w:val="79"/>
                </w:rPr>
                <w:t>17</w:t>
              </w:r>
            </w:hyperlink>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3.</w:t>
              </w:r>
            </w:hyperlink>
          </w:p>
        </w:tc>
        <w:tc>
          <w:tcPr>
            <w:tcW w:w="860" w:type="dxa"/>
            <w:vAlign w:val="bottom"/>
          </w:tcPr>
          <w:p>
            <w:pPr>
              <w:spacing w:after="0"/>
              <w:rPr>
                <w:sz w:val="24"/>
                <w:szCs w:val="24"/>
                <w:color w:val="auto"/>
              </w:rPr>
            </w:pPr>
          </w:p>
        </w:tc>
        <w:tc>
          <w:tcPr>
            <w:tcW w:w="6460" w:type="dxa"/>
            <w:vAlign w:val="bottom"/>
            <w:tcBorders>
              <w:top w:val="single" w:sz="8" w:color="0000EE"/>
            </w:tcBorders>
            <w:gridSpan w:val="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3400" w:type="dxa"/>
            <w:vAlign w:val="bottom"/>
            <w:gridSpan w:val="4"/>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22</w:t>
              </w:r>
            </w:hyperlink>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4.</w:t>
              </w:r>
            </w:hyperlink>
          </w:p>
        </w:tc>
        <w:tc>
          <w:tcPr>
            <w:tcW w:w="860" w:type="dxa"/>
            <w:vAlign w:val="bottom"/>
          </w:tcPr>
          <w:p>
            <w:pPr>
              <w:spacing w:after="0"/>
              <w:rPr>
                <w:sz w:val="24"/>
                <w:szCs w:val="24"/>
                <w:color w:val="auto"/>
              </w:rPr>
            </w:pPr>
          </w:p>
        </w:tc>
        <w:tc>
          <w:tcPr>
            <w:tcW w:w="17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3"/>
          </w:tcPr>
          <w:p>
            <w:pPr>
              <w:spacing w:after="0"/>
              <w:rPr>
                <w:sz w:val="24"/>
                <w:szCs w:val="24"/>
                <w:color w:val="auto"/>
              </w:rPr>
            </w:pPr>
          </w:p>
        </w:tc>
        <w:tc>
          <w:tcPr>
            <w:tcW w:w="5500" w:type="dxa"/>
            <w:vAlign w:val="bottom"/>
            <w:gridSpan w:val="7"/>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22</w:t>
              </w:r>
            </w:hyperlink>
          </w:p>
        </w:tc>
        <w:tc>
          <w:tcPr>
            <w:tcW w:w="0" w:type="dxa"/>
            <w:vAlign w:val="bottom"/>
          </w:tcPr>
          <w:p>
            <w:pPr>
              <w:spacing w:after="0"/>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960" w:type="dxa"/>
            <w:vAlign w:val="bottom"/>
            <w:gridSpan w:val="3"/>
          </w:tcPr>
          <w:p>
            <w:pPr>
              <w:spacing w:after="0"/>
              <w:rPr>
                <w:sz w:val="20"/>
                <w:szCs w:val="20"/>
                <w:color w:val="auto"/>
              </w:rPr>
            </w:pPr>
            <w:r>
              <w:rPr>
                <w:rFonts w:ascii="Arial" w:cs="Arial" w:eastAsia="Arial" w:hAnsi="Arial"/>
                <w:sz w:val="18"/>
                <w:szCs w:val="18"/>
                <w:b w:val="1"/>
                <w:bCs w:val="1"/>
                <w:color w:val="auto"/>
              </w:rPr>
              <w:t>PART II—OTHER INFORMATION</w:t>
            </w:r>
          </w:p>
        </w:tc>
        <w:tc>
          <w:tcPr>
            <w:tcW w:w="180" w:type="dxa"/>
            <w:vAlign w:val="bottom"/>
          </w:tcPr>
          <w:p>
            <w:pPr>
              <w:spacing w:after="0"/>
              <w:rPr>
                <w:sz w:val="18"/>
                <w:szCs w:val="18"/>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1.</w:t>
              </w:r>
            </w:hyperlink>
          </w:p>
        </w:tc>
        <w:tc>
          <w:tcPr>
            <w:tcW w:w="860" w:type="dxa"/>
            <w:vAlign w:val="bottom"/>
            <w:gridSpan w:val="3"/>
          </w:tcPr>
          <w:p>
            <w:pPr>
              <w:spacing w:after="0"/>
              <w:rPr>
                <w:sz w:val="24"/>
                <w:szCs w:val="24"/>
                <w:color w:val="auto"/>
              </w:rPr>
            </w:pP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Legal Proceedings</w:t>
              </w:r>
            </w:hyperlink>
          </w:p>
        </w:tc>
        <w:tc>
          <w:tcPr>
            <w:tcW w:w="1560" w:type="dxa"/>
            <w:vAlign w:val="bottom"/>
            <w:gridSpan w:val="3"/>
          </w:tcPr>
          <w:p>
            <w:pPr>
              <w:spacing w:after="0"/>
              <w:rPr>
                <w:sz w:val="24"/>
                <w:szCs w:val="24"/>
                <w:color w:val="auto"/>
              </w:rPr>
            </w:pPr>
          </w:p>
        </w:tc>
        <w:tc>
          <w:tcPr>
            <w:tcW w:w="2860" w:type="dxa"/>
            <w:vAlign w:val="bottom"/>
            <w:tcBorders>
              <w:top w:val="single" w:sz="8" w:color="auto"/>
            </w:tcBorders>
            <w:gridSpan w:val="2"/>
          </w:tcPr>
          <w:p>
            <w:pPr>
              <w:spacing w:after="0"/>
              <w:rPr>
                <w:sz w:val="24"/>
                <w:szCs w:val="24"/>
                <w:color w:val="auto"/>
              </w:rPr>
            </w:pPr>
          </w:p>
        </w:tc>
        <w:tc>
          <w:tcPr>
            <w:tcW w:w="410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23</w:t>
              </w:r>
            </w:hyperlink>
          </w:p>
        </w:tc>
      </w:tr>
      <w:tr>
        <w:trPr>
          <w:trHeight w:val="412"/>
        </w:trPr>
        <w:tc>
          <w:tcPr>
            <w:tcW w:w="1380" w:type="dxa"/>
            <w:vAlign w:val="bottom"/>
            <w:gridSpan w:val="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1A.</w:t>
              </w:r>
            </w:hyperlink>
          </w:p>
        </w:tc>
        <w:tc>
          <w:tcPr>
            <w:tcW w:w="9860" w:type="dxa"/>
            <w:vAlign w:val="bottom"/>
            <w:gridSpan w:val="1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180" w:type="dxa"/>
            <w:vAlign w:val="bottom"/>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23</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5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740" w:type="dxa"/>
            <w:vAlign w:val="bottom"/>
            <w:gridSpan w:val="2"/>
          </w:tcPr>
          <w:p>
            <w:pPr>
              <w:spacing w:after="0"/>
              <w:rPr>
                <w:sz w:val="24"/>
                <w:szCs w:val="24"/>
                <w:color w:val="auto"/>
              </w:rPr>
            </w:pPr>
          </w:p>
        </w:tc>
        <w:tc>
          <w:tcPr>
            <w:tcW w:w="43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Unregistered Sales of Equity Securities and Use of Proceeds</w:t>
              </w:r>
            </w:hyperlink>
          </w:p>
        </w:tc>
        <w:tc>
          <w:tcPr>
            <w:tcW w:w="550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23</w:t>
              </w:r>
            </w:hyperlink>
          </w:p>
        </w:tc>
      </w:tr>
      <w:tr>
        <w:trPr>
          <w:trHeight w:val="412"/>
        </w:trPr>
        <w:tc>
          <w:tcPr>
            <w:tcW w:w="520" w:type="dxa"/>
            <w:vAlign w:val="bottom"/>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3.</w:t>
              </w:r>
            </w:hyperlink>
          </w:p>
        </w:tc>
        <w:tc>
          <w:tcPr>
            <w:tcW w:w="860" w:type="dxa"/>
            <w:vAlign w:val="bottom"/>
            <w:gridSpan w:val="3"/>
          </w:tcPr>
          <w:p>
            <w:pPr>
              <w:spacing w:after="0"/>
              <w:rPr>
                <w:sz w:val="24"/>
                <w:szCs w:val="24"/>
                <w:color w:val="auto"/>
              </w:rPr>
            </w:pPr>
          </w:p>
        </w:tc>
        <w:tc>
          <w:tcPr>
            <w:tcW w:w="9860" w:type="dxa"/>
            <w:vAlign w:val="bottom"/>
            <w:gridSpan w:val="1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Defaults Upon Senior Securities</w:t>
              </w:r>
            </w:hyperlink>
          </w:p>
        </w:tc>
        <w:tc>
          <w:tcPr>
            <w:tcW w:w="180" w:type="dxa"/>
            <w:vAlign w:val="bottom"/>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24</w:t>
              </w:r>
            </w:hyperlink>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4.</w:t>
              </w:r>
            </w:hyperlink>
          </w:p>
        </w:tc>
        <w:tc>
          <w:tcPr>
            <w:tcW w:w="860" w:type="dxa"/>
            <w:vAlign w:val="bottom"/>
            <w:gridSpan w:val="3"/>
          </w:tcPr>
          <w:p>
            <w:pPr>
              <w:spacing w:after="0"/>
              <w:rPr>
                <w:sz w:val="24"/>
                <w:szCs w:val="24"/>
                <w:color w:val="auto"/>
              </w:rPr>
            </w:pPr>
          </w:p>
        </w:tc>
        <w:tc>
          <w:tcPr>
            <w:tcW w:w="17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Mine Safety Disclosures</w:t>
              </w:r>
            </w:hyperlink>
          </w:p>
        </w:tc>
        <w:tc>
          <w:tcPr>
            <w:tcW w:w="540" w:type="dxa"/>
            <w:vAlign w:val="bottom"/>
            <w:tcBorders>
              <w:top w:val="single" w:sz="8" w:color="0000EE"/>
            </w:tcBorders>
          </w:tcPr>
          <w:p>
            <w:pPr>
              <w:spacing w:after="0"/>
              <w:rPr>
                <w:sz w:val="24"/>
                <w:szCs w:val="24"/>
                <w:color w:val="auto"/>
              </w:rPr>
            </w:pPr>
          </w:p>
        </w:tc>
        <w:tc>
          <w:tcPr>
            <w:tcW w:w="7540" w:type="dxa"/>
            <w:vAlign w:val="bottom"/>
            <w:gridSpan w:val="4"/>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24</w:t>
              </w:r>
            </w:hyperlink>
          </w:p>
        </w:tc>
      </w:tr>
      <w:tr>
        <w:trPr>
          <w:trHeight w:val="412"/>
        </w:trPr>
        <w:tc>
          <w:tcPr>
            <w:tcW w:w="520" w:type="dxa"/>
            <w:vAlign w:val="bottom"/>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5.</w:t>
              </w:r>
            </w:hyperlink>
          </w:p>
        </w:tc>
        <w:tc>
          <w:tcPr>
            <w:tcW w:w="860" w:type="dxa"/>
            <w:vAlign w:val="bottom"/>
            <w:gridSpan w:val="3"/>
          </w:tcPr>
          <w:p>
            <w:pPr>
              <w:spacing w:after="0"/>
              <w:rPr>
                <w:sz w:val="24"/>
                <w:szCs w:val="24"/>
                <w:color w:val="auto"/>
              </w:rPr>
            </w:pPr>
          </w:p>
        </w:tc>
        <w:tc>
          <w:tcPr>
            <w:tcW w:w="9860" w:type="dxa"/>
            <w:vAlign w:val="bottom"/>
            <w:gridSpan w:val="1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Other Information</w:t>
              </w:r>
            </w:hyperlink>
          </w:p>
        </w:tc>
        <w:tc>
          <w:tcPr>
            <w:tcW w:w="180" w:type="dxa"/>
            <w:vAlign w:val="bottom"/>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24</w:t>
              </w:r>
            </w:hyperlink>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6.</w:t>
              </w:r>
            </w:hyperlink>
          </w:p>
        </w:tc>
        <w:tc>
          <w:tcPr>
            <w:tcW w:w="860" w:type="dxa"/>
            <w:vAlign w:val="bottom"/>
            <w:gridSpan w:val="3"/>
          </w:tcPr>
          <w:p>
            <w:pPr>
              <w:spacing w:after="0"/>
              <w:rPr>
                <w:sz w:val="24"/>
                <w:szCs w:val="24"/>
                <w:color w:val="auto"/>
              </w:rPr>
            </w:pPr>
          </w:p>
        </w:tc>
        <w:tc>
          <w:tcPr>
            <w:tcW w:w="1320" w:type="dxa"/>
            <w:vAlign w:val="bottom"/>
            <w:tcBorders>
              <w:top w:val="single" w:sz="8" w:color="0000EE"/>
            </w:tcBorders>
            <w:gridSpan w:val="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8540" w:type="dxa"/>
            <w:vAlign w:val="bottom"/>
            <w:gridSpan w:val="7"/>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25</w:t>
              </w:r>
            </w:hyperlink>
          </w:p>
        </w:tc>
      </w:tr>
      <w:tr>
        <w:trPr>
          <w:trHeight w:val="20"/>
        </w:trPr>
        <w:tc>
          <w:tcPr>
            <w:tcW w:w="52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12"/>
        </w:trPr>
        <w:tc>
          <w:tcPr>
            <w:tcW w:w="1380" w:type="dxa"/>
            <w:vAlign w:val="bottom"/>
            <w:gridSpan w:val="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SIGNATURES</w:t>
              </w:r>
            </w:hyperlink>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CAUTIONARY STATEMENTS REGARDING FORWARD-LOOKING STATEMENTS</w:t>
      </w:r>
    </w:p>
    <w:p>
      <w:pPr>
        <w:spacing w:after="0" w:line="229" w:lineRule="exact"/>
        <w:rPr>
          <w:sz w:val="20"/>
          <w:szCs w:val="20"/>
          <w:color w:val="auto"/>
        </w:rPr>
      </w:pPr>
    </w:p>
    <w:p>
      <w:pPr>
        <w:ind w:firstLine="551"/>
        <w:spacing w:after="0" w:line="272" w:lineRule="auto"/>
        <w:rPr>
          <w:sz w:val="20"/>
          <w:szCs w:val="20"/>
          <w:color w:val="auto"/>
        </w:rPr>
      </w:pPr>
      <w:r>
        <w:rPr>
          <w:rFonts w:ascii="Arial" w:cs="Arial" w:eastAsia="Arial" w:hAnsi="Arial"/>
          <w:sz w:val="17"/>
          <w:szCs w:val="17"/>
          <w:color w:val="auto"/>
        </w:rPr>
        <w:t>This Quarterly Report on Form 10-Q contains forward-looking statements, which reflect our current views with respect to, among other things, our operations and financial performance. All statements other than statements of historical facts contained in this Quarterly Report on Form 10-Q are forward-looking statements. You can identify forward-looking statements by terminology such as “may,” “will,” “should,” “would,” “could,” “expects,” “plans,” “contemplate,” “anticipates,” “believes,” “estimates,” “predicts,” “projects,” “intend” or “continue” or the negative of such terms or other comparable terminology, although not all forward-looking statements contain these identifying words. Forward-looking statements are subject to inherent risks and uncertainties in predicting future results and conditions that could cause the actual results to differ materially from those projected in these forward-looking statements. These forward-looking statements include, but are not limited to statements about:</w:t>
      </w:r>
    </w:p>
    <w:p>
      <w:pPr>
        <w:spacing w:after="0" w:line="178" w:lineRule="exact"/>
        <w:rPr>
          <w:sz w:val="20"/>
          <w:szCs w:val="20"/>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regulatory approval to market and sell Xilonix™ in the United States, Europe and elsewhere;</w:t>
      </w:r>
    </w:p>
    <w:p>
      <w:pPr>
        <w:spacing w:after="0" w:line="23" w:lineRule="exact"/>
        <w:rPr>
          <w:rFonts w:ascii="Arial" w:cs="Arial" w:eastAsia="Arial" w:hAnsi="Arial"/>
          <w:sz w:val="18"/>
          <w:szCs w:val="18"/>
          <w:color w:val="auto"/>
        </w:rPr>
      </w:pPr>
    </w:p>
    <w:p>
      <w:pPr>
        <w:ind w:left="880" w:right="40" w:hanging="332"/>
        <w:spacing w:after="0" w:line="250"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cost, progress and success of our research and development programs, preclinical studies and clinical trials for Xilonix™ and other product candidates;</w:t>
      </w: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commercialize the sale of Xilonix™ in the United States, Europe and elsewhere;</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sufficient numbers of patients for our future clinical trials for our pharmaceutical products;</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profitability;</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research funding;</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additional new products using our True Human™ antibody discovery platform;</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commercialize product candidates for orphan and niche indications independently;</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protect our intellectual property and operate our business without infringing upon the intellectual property rights of others;</w:t>
      </w:r>
    </w:p>
    <w:p>
      <w:pPr>
        <w:spacing w:after="0" w:line="20" w:lineRule="exact"/>
        <w:rPr>
          <w:rFonts w:ascii="Arial" w:cs="Arial" w:eastAsia="Arial" w:hAnsi="Arial"/>
          <w:sz w:val="17"/>
          <w:szCs w:val="17"/>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federal, state and foreign regulatory requirements;</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therapeutic benefits, effectiveness and safety of our product candidates;</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accuracy of our estimates of the size and characteristics of the markets that may be addressed by our products and product candidates;</w:t>
      </w:r>
    </w:p>
    <w:p>
      <w:pPr>
        <w:spacing w:after="0" w:line="32" w:lineRule="exact"/>
        <w:rPr>
          <w:rFonts w:ascii="Arial" w:cs="Arial" w:eastAsia="Arial" w:hAnsi="Arial"/>
          <w:sz w:val="16"/>
          <w:szCs w:val="16"/>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Xilonix™ and future products, if any;</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collaborators’ ability to obtain and maintain regulatory approvals for our product candidates;</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market risk, including interest rate changes and foreign currency fluctuations;</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in the sufficiency of our cash flows to meet our needs for at least the next 12 to 24 months;</w:t>
      </w:r>
    </w:p>
    <w:p>
      <w:pPr>
        <w:spacing w:after="0" w:line="200" w:lineRule="exact"/>
        <w:rPr>
          <w:sz w:val="20"/>
          <w:szCs w:val="20"/>
          <w:color w:val="auto"/>
        </w:rPr>
      </w:pPr>
    </w:p>
    <w:p>
      <w:pPr>
        <w:spacing w:after="0" w:line="25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00"/>
          </w:cols>
          <w:pgMar w:left="240" w:top="688" w:right="459" w:bottom="1440" w:gutter="0" w:footer="0" w:header="0"/>
        </w:sectPr>
      </w:pPr>
    </w:p>
    <w:bookmarkStart w:id="4" w:name="page5"/>
    <w:bookmarkEnd w:id="4"/>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timing during which we will be an emerging growth company under the JOBS Act;</w:t>
      </w:r>
    </w:p>
    <w:p>
      <w:pPr>
        <w:spacing w:after="0" w:line="23" w:lineRule="exact"/>
        <w:rPr>
          <w:rFonts w:ascii="Arial" w:cs="Arial" w:eastAsia="Arial" w:hAnsi="Arial"/>
          <w:sz w:val="18"/>
          <w:szCs w:val="18"/>
          <w:color w:val="auto"/>
        </w:rPr>
      </w:pPr>
    </w:p>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engage and retain the employees required to grow our business;</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financial performance and projected expenditures;</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developments relating to our competitors and our industry, including the success of competing therapies that are or become available; and</w:t>
      </w:r>
    </w:p>
    <w:p>
      <w:pPr>
        <w:spacing w:after="0" w:line="20" w:lineRule="exact"/>
        <w:rPr>
          <w:rFonts w:ascii="Arial" w:cs="Arial" w:eastAsia="Arial" w:hAnsi="Arial"/>
          <w:sz w:val="17"/>
          <w:szCs w:val="17"/>
          <w:color w:val="auto"/>
        </w:rPr>
      </w:pPr>
    </w:p>
    <w:p>
      <w:pPr>
        <w:ind w:left="880" w:hanging="3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and our needs for additional financing.</w:t>
      </w:r>
    </w:p>
    <w:p>
      <w:pPr>
        <w:spacing w:after="0" w:line="21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All forward looking statements in this Quarterly Report on Form 10-Q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under the heading “Risk Factors” included in our annual report for the year ended December 31, 2017 filed with the SEC on March 16, 2018, and elsewhere in this Quarterly Report on Form 10-Q. These factors should not be construed as exhaustive and should be read in conjunction with the other cautionary statements that are included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92"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This Quarterly Report on Form 10-Q also contains estimates, projections and other information concerning our industry, our business, and the markets for certain medical conditions,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June 30, 2018</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December 31, 2017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(unaudited)</w:t>
            </w: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24,849</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31,768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917</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25,766</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33,332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28,524</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29,640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54,290</w:t>
            </w:r>
          </w:p>
        </w:tc>
        <w:tc>
          <w:tcPr>
            <w:tcW w:w="5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62,972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1,455</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1,301</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2,756</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Long-term liabilities: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rent</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2,768</w:t>
            </w: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no par value, unlimited shares authorized, no shares outstanding</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40" w:type="dxa"/>
            <w:vAlign w:val="bottom"/>
          </w:tcPr>
          <w:p>
            <w:pPr>
              <w:spacing w:after="0" w:line="201" w:lineRule="exact"/>
              <w:rPr>
                <w:sz w:val="20"/>
                <w:szCs w:val="20"/>
                <w:color w:val="auto"/>
              </w:rPr>
            </w:pPr>
            <w:r>
              <w:rPr>
                <w:rFonts w:ascii="Arial" w:cs="Arial" w:eastAsia="Arial" w:hAnsi="Arial"/>
                <w:sz w:val="18"/>
                <w:szCs w:val="18"/>
                <w:color w:val="auto"/>
                <w:w w:val="91"/>
              </w:rPr>
              <w:t>Common stock, no par value, unlimited shares authorized, 35,819,772 and 35,439,272 shares outstanding at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60" w:type="dxa"/>
            <w:vAlign w:val="bottom"/>
            <w:gridSpan w:val="2"/>
          </w:tcPr>
          <w:p>
            <w:pPr>
              <w:spacing w:after="0"/>
              <w:rPr>
                <w:sz w:val="20"/>
                <w:szCs w:val="20"/>
                <w:color w:val="auto"/>
              </w:rPr>
            </w:pPr>
            <w:r>
              <w:rPr>
                <w:rFonts w:ascii="Arial" w:cs="Arial" w:eastAsia="Arial" w:hAnsi="Arial"/>
                <w:sz w:val="18"/>
                <w:szCs w:val="18"/>
                <w:color w:val="auto"/>
              </w:rPr>
              <w:t>June 30, 2018 and December 31, 2017, respectively</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278,441</w:t>
            </w:r>
          </w:p>
        </w:tc>
        <w:tc>
          <w:tcPr>
            <w:tcW w:w="5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277,492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(226,538)</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51,522</w:t>
            </w:r>
          </w:p>
        </w:tc>
        <w:tc>
          <w:tcPr>
            <w:tcW w:w="5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60,162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9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4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Total liabilities and shareholders’ equity</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54,290</w:t>
            </w:r>
          </w:p>
        </w:tc>
        <w:tc>
          <w:tcPr>
            <w:tcW w:w="54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62,972</w:t>
            </w: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See accompanying notes.</w:t>
            </w: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7960" w:type="dxa"/>
            <w:vAlign w:val="bottom"/>
            <w:gridSpan w:val="2"/>
          </w:tcPr>
          <w:p>
            <w:pPr>
              <w:jc w:val="right"/>
              <w:ind w:right="211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9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44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Pr>
          <w:p>
            <w:pPr>
              <w:spacing w:after="0"/>
              <w:rPr>
                <w:sz w:val="18"/>
                <w:szCs w:val="18"/>
                <w:color w:val="auto"/>
              </w:rPr>
            </w:pPr>
          </w:p>
        </w:tc>
        <w:tc>
          <w:tcPr>
            <w:tcW w:w="306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19"/>
                <w:szCs w:val="19"/>
                <w:color w:val="auto"/>
              </w:rPr>
            </w:pPr>
          </w:p>
        </w:tc>
        <w:tc>
          <w:tcPr>
            <w:tcW w:w="14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14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(unaudited)</w:t>
            </w: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(unaudited)</w:t>
            </w: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(unaudited)</w:t>
            </w:r>
          </w:p>
        </w:tc>
        <w:tc>
          <w:tcPr>
            <w:tcW w:w="16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3,949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7,399</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6,941</w:t>
            </w: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15,587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1,672</w:t>
            </w: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2,289</w:t>
            </w: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2,829</w:t>
            </w:r>
          </w:p>
        </w:tc>
        <w:tc>
          <w:tcPr>
            <w:tcW w:w="4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5,621</w:t>
            </w: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9,688</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9,770</w:t>
            </w: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(5,621)</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(9,688)</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 income (loss):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107</w:t>
            </w:r>
          </w:p>
        </w:tc>
        <w:tc>
          <w:tcPr>
            <w:tcW w:w="300" w:type="dxa"/>
            <w:vAlign w:val="bottom"/>
          </w:tcPr>
          <w:p>
            <w:pPr>
              <w:spacing w:after="0"/>
              <w:rPr>
                <w:sz w:val="18"/>
                <w:szCs w:val="18"/>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114</w:t>
            </w:r>
          </w:p>
        </w:tc>
        <w:tc>
          <w:tcPr>
            <w:tcW w:w="28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170</w:t>
            </w:r>
          </w:p>
        </w:tc>
        <w:tc>
          <w:tcPr>
            <w:tcW w:w="4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exchange gain (loss)</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(393)</w:t>
            </w: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441</w:t>
            </w: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4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income (loss)</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(286)</w:t>
            </w: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555</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(5,907)</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(9,133)</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(9,976)</w:t>
            </w:r>
          </w:p>
        </w:tc>
        <w:tc>
          <w:tcPr>
            <w:tcW w:w="4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(19,696)</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share—basic and diluted</w:t>
            </w:r>
          </w:p>
        </w:tc>
        <w:tc>
          <w:tcPr>
            <w:tcW w:w="2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80" w:type="dxa"/>
            <w:vAlign w:val="bottom"/>
            <w:gridSpan w:val="2"/>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(0.16)</w:t>
            </w:r>
          </w:p>
        </w:tc>
        <w:tc>
          <w:tcPr>
            <w:tcW w:w="3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(0.26)</w:t>
            </w:r>
          </w:p>
        </w:tc>
        <w:tc>
          <w:tcPr>
            <w:tcW w:w="2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(0.28)</w:t>
            </w:r>
          </w:p>
        </w:tc>
        <w:tc>
          <w:tcPr>
            <w:tcW w:w="420" w:type="dxa"/>
            <w:vAlign w:val="bottom"/>
          </w:tcPr>
          <w:p>
            <w:pPr>
              <w:ind w:left="80"/>
              <w:spacing w:after="0" w:line="196"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w w:val="91"/>
              </w:rPr>
              <w:t>Shares used to compute basic and diluted net loss per share</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35,819,772</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35,320,499</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35,783,738</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34,311,690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4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Pr>
          <w:p>
            <w:pPr>
              <w:spacing w:after="0"/>
              <w:rPr>
                <w:sz w:val="18"/>
                <w:szCs w:val="18"/>
                <w:color w:val="auto"/>
              </w:rPr>
            </w:pPr>
          </w:p>
        </w:tc>
        <w:tc>
          <w:tcPr>
            <w:tcW w:w="306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18"/>
                <w:szCs w:val="18"/>
                <w:color w:val="auto"/>
              </w:rPr>
            </w:pPr>
          </w:p>
        </w:tc>
        <w:tc>
          <w:tcPr>
            <w:tcW w:w="14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8"/>
                <w:szCs w:val="18"/>
                <w:color w:val="auto"/>
              </w:rPr>
            </w:pPr>
          </w:p>
        </w:tc>
        <w:tc>
          <w:tcPr>
            <w:tcW w:w="14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18"/>
                <w:szCs w:val="18"/>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(unaudited)</w:t>
            </w: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(unaudited)</w:t>
            </w: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(unaudited)</w:t>
            </w:r>
          </w:p>
        </w:tc>
        <w:tc>
          <w:tcPr>
            <w:tcW w:w="16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(5,907)</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(9,133)</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(9,976)</w:t>
            </w: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 currency translation adjustment</w:t>
            </w: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381</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388</w:t>
            </w: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(5,526)</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(9,626)</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(9,588)</w:t>
            </w:r>
          </w:p>
        </w:tc>
        <w:tc>
          <w:tcPr>
            <w:tcW w:w="4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19"/>
                <w:szCs w:val="19"/>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6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(unaudited)</w:t>
            </w: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Net loss</w:t>
            </w:r>
          </w:p>
        </w:tc>
        <w:tc>
          <w:tcPr>
            <w:tcW w:w="16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(9,976)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1,198</w:t>
            </w:r>
          </w:p>
        </w:tc>
        <w:tc>
          <w:tcPr>
            <w:tcW w:w="3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 expense</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747</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647</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(275)</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240</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Deferred rent</w:t>
            </w:r>
          </w:p>
        </w:tc>
        <w:tc>
          <w:tcPr>
            <w:tcW w:w="1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(7,426)</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Purchase of property and equipment</w:t>
            </w:r>
          </w:p>
        </w:tc>
        <w:tc>
          <w:tcPr>
            <w:tcW w:w="1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Issuance of common stock and warrants, net</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32,620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under stock option plan</w:t>
            </w:r>
          </w:p>
        </w:tc>
        <w:tc>
          <w:tcPr>
            <w:tcW w:w="14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201</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201</w:t>
            </w:r>
          </w:p>
        </w:tc>
        <w:tc>
          <w:tcPr>
            <w:tcW w:w="3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33,274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exchange rate on cash and cash equivalents</w:t>
            </w:r>
          </w:p>
        </w:tc>
        <w:tc>
          <w:tcPr>
            <w:tcW w:w="14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388</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(6,919)</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1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31,768</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34,324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4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24,849</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45,949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Accrued purchases of property and equipment</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 (Unaudited)</w:t>
      </w:r>
    </w:p>
    <w:p>
      <w:pPr>
        <w:spacing w:after="0" w:line="207" w:lineRule="exact"/>
        <w:rPr>
          <w:sz w:val="20"/>
          <w:szCs w:val="20"/>
          <w:color w:val="auto"/>
        </w:rPr>
      </w:pPr>
    </w:p>
    <w:p>
      <w:pPr>
        <w:ind w:left="720" w:hanging="712"/>
        <w:spacing w:after="0"/>
        <w:tabs>
          <w:tab w:leader="none" w:pos="7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XBiotech Inc. (“XBiotech” or “the Company”) was incorporated in Canada on March 22, 2005. XBiotech USA, Inc., a wholly-owned subsidiary of the Company, was incorporated in Delaware, United States (“U.S.”) in November 2007. XBiotech Switzerland AG, a wholly-owned subsidiary of the Company, was incorporated in Zug, Switzerland in August 2010. XBiotech Japan K.K., a wholly-owned subsidiary of the Company, was incorporated in Tokyo, Japan in March 2013. XBiotech Germany GmbH, a wholly-owned subsidiary of the Company, was incorporated in Germany in January 2014. The Company’s headquarters are located in Austin, Texas.</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XBiotech Inc. is a pre-market biopharmaceutical company engaged in discovering and developing True Human™ monoclonal antibodies for treating a variety of diseases. True Human™ monoclonal antibodies are those which occur naturally in human beings—as opposed to being derived from animal immunization or otherwise engineered. The Company believes that naturally occurring monoclonal antibodies have the potential to be safer and more effective than their non-naturally occurring counterparts. XBiotech is focused on developing its True Human™ pipeline and manufacturing system. The Company’s pipeline consists of product candidates at various stages of development across an array of indications including oncology, dermatology, other inflammatory conditions, such as peripheral vascular disease, type 2 diabetes, and infectious diseases.</w:t>
      </w:r>
    </w:p>
    <w:p>
      <w:pPr>
        <w:spacing w:after="0" w:line="174" w:lineRule="exact"/>
        <w:rPr>
          <w:sz w:val="20"/>
          <w:szCs w:val="20"/>
          <w:color w:val="auto"/>
        </w:rPr>
      </w:pPr>
    </w:p>
    <w:p>
      <w:pPr>
        <w:ind w:right="8300" w:firstLine="8"/>
        <w:spacing w:after="0" w:line="503" w:lineRule="auto"/>
        <w:tabs>
          <w:tab w:leader="none" w:pos="70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spacing w:after="0" w:line="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These consolidated financial statements have been prepared in conformity with accounting principles generally accepted in the United States (“US GAAP”). In the opinion of management, the accompanying consolidated financial statements reflect all adjustments (consisting only of normal recurring items) considered necessary to present fairly the Company’s financial position at June 30, 2018 and December 31, 2017, the results of its operations and comprehensive loss for the three month and six month periods ended March 31 and June 30, 2018 and 2017, and the cash flows for the six month period ended June 30, 2018 and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229"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significant intercompany transactions have been eliminated upon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U.S. requires management to make estimates and assumptions that affect the reported values of amounts in the financial statements and accompanying notes. Actual results could differ from those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All research and development costs are charged to expense as incurred. Research and development costs include salaries and personnel-related costs, consulting fees, fees paid for contract clinical trial research services, the costs of laboratory consumables, equipment and facilities, license fees and other external costs. Costs incurred to acquire licenses for intellectual property to be used in research and development activities with no alternative future use are expensed as incurred as research and development costs.</w:t>
      </w:r>
    </w:p>
    <w:p>
      <w:pPr>
        <w:spacing w:after="0" w:line="18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Nonrefundable advance payments for goods or services to be received in the future for use in research and development activities are deferred and capitalized. The capitalized amounts are expensed as the related goods are delivered or the services are performed.</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 xml:space="preserve">The Company accounts for its share-based compensation awards in accordance with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(“ASC 718”). ASC 718 requires all share-based payments to employees, including grants of employee stock options, to be recognized in the statements of operations based on their grant date fair values. For stock options granted to employees and to members of the board of directors for their services on the board of directors, the Company estimates the grant date fair value of each option award using the Black-Scholes option-pricing model. The use of the Black-Scholes option-pricing model requires management to make assumptions with respect to the expected term of the option, the expected volatility of the common stock consistent with the expected life of the option, risk-free interest rates and expected dividend yields of the common stock. To determine the fair value of its common stock, the Company uses the closing price of the Company’s common stock as reported by NASDAQ. For awards subject to service-based vesting conditions, the Company recognizes share-based compensation expense, equal to the grant date fair value of stock options on a straight-line basis over the requisite service period. The Company accounts for forfeitures as they occur rather than on an estimated basis.</w:t>
      </w:r>
    </w:p>
    <w:p>
      <w:pPr>
        <w:spacing w:after="0" w:line="16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Share-based compensation expense recognized for the three and six months ended June 30, 2018 and 2017 was included in the following line items on the Consolidated Statements of Operations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8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2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3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60" w:type="dxa"/>
            <w:vAlign w:val="bottom"/>
            <w:gridSpan w:val="2"/>
          </w:tcPr>
          <w:p>
            <w:pPr>
              <w:jc w:val="right"/>
              <w:ind w:right="690"/>
              <w:spacing w:after="0"/>
              <w:rPr>
                <w:sz w:val="20"/>
                <w:szCs w:val="20"/>
                <w:color w:val="auto"/>
              </w:rPr>
            </w:pPr>
            <w:r>
              <w:rPr>
                <w:rFonts w:ascii="Arial" w:cs="Arial" w:eastAsia="Arial" w:hAnsi="Arial"/>
                <w:sz w:val="18"/>
                <w:szCs w:val="18"/>
                <w:b w:val="1"/>
                <w:bCs w:val="1"/>
                <w:color w:val="auto"/>
              </w:rPr>
              <w:t>June 30,</w:t>
            </w: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40" w:type="dxa"/>
            <w:vAlign w:val="bottom"/>
          </w:tcPr>
          <w:p>
            <w:pPr>
              <w:spacing w:after="0"/>
              <w:rPr>
                <w:sz w:val="19"/>
                <w:szCs w:val="19"/>
                <w:color w:val="auto"/>
              </w:rPr>
            </w:pPr>
          </w:p>
        </w:tc>
      </w:tr>
      <w:tr>
        <w:trPr>
          <w:trHeight w:val="234"/>
        </w:trPr>
        <w:tc>
          <w:tcPr>
            <w:tcW w:w="3820" w:type="dxa"/>
            <w:vAlign w:val="bottom"/>
          </w:tcPr>
          <w:p>
            <w:pPr>
              <w:spacing w:after="0"/>
              <w:rPr>
                <w:sz w:val="20"/>
                <w:szCs w:val="20"/>
                <w:color w:val="auto"/>
              </w:rPr>
            </w:pPr>
          </w:p>
        </w:tc>
        <w:tc>
          <w:tcPr>
            <w:tcW w:w="20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20"/>
                <w:szCs w:val="20"/>
                <w:color w:val="auto"/>
              </w:rPr>
            </w:pPr>
          </w:p>
        </w:tc>
        <w:tc>
          <w:tcPr>
            <w:tcW w:w="11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162</w:t>
            </w:r>
          </w:p>
        </w:tc>
        <w:tc>
          <w:tcPr>
            <w:tcW w:w="116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42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54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30"/>
        </w:trPr>
        <w:tc>
          <w:tcPr>
            <w:tcW w:w="3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8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475</w:t>
            </w:r>
          </w:p>
        </w:tc>
        <w:tc>
          <w:tcPr>
            <w:tcW w:w="1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7"/>
              </w:rPr>
              <w:t>1,171</w:t>
            </w: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497</w:t>
            </w: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1,601</w:t>
            </w:r>
          </w:p>
        </w:tc>
      </w:tr>
      <w:tr>
        <w:trPr>
          <w:trHeight w:val="223"/>
        </w:trPr>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8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637</w:t>
            </w:r>
          </w:p>
        </w:tc>
        <w:tc>
          <w:tcPr>
            <w:tcW w:w="11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898</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747</w:t>
            </w:r>
          </w:p>
        </w:tc>
        <w:tc>
          <w:tcPr>
            <w:tcW w:w="5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1,622</w:t>
            </w:r>
          </w:p>
        </w:tc>
      </w:tr>
      <w:tr>
        <w:trPr>
          <w:trHeight w:val="20"/>
        </w:trPr>
        <w:tc>
          <w:tcPr>
            <w:tcW w:w="3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each option is estimated on the date of grant using the Black-Scholes method with the following assumptions: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2018</w:t>
            </w: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4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2017</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2018</w:t>
            </w: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4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2017</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Expected volatility</w:t>
            </w:r>
          </w:p>
        </w:tc>
        <w:tc>
          <w:tcPr>
            <w:tcW w:w="70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8"/>
              </w:rPr>
              <w:t>80%</w:t>
            </w: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4"/>
              </w:rPr>
              <w:t>67%</w:t>
            </w:r>
          </w:p>
        </w:tc>
        <w:tc>
          <w:tcPr>
            <w:tcW w:w="62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8"/>
              </w:rPr>
              <w:t>67%</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4"/>
              </w:rPr>
              <w:t>80%</w:t>
            </w:r>
          </w:p>
        </w:tc>
        <w:tc>
          <w:tcPr>
            <w:tcW w:w="620" w:type="dxa"/>
            <w:vAlign w:val="bottom"/>
          </w:tcPr>
          <w:p>
            <w:pPr>
              <w:jc w:val="center"/>
              <w:spacing w:after="0"/>
              <w:rPr>
                <w:sz w:val="20"/>
                <w:szCs w:val="20"/>
                <w:color w:val="auto"/>
              </w:rPr>
            </w:pPr>
            <w:r>
              <w:rPr>
                <w:rFonts w:ascii="Arial" w:cs="Arial" w:eastAsia="Arial" w:hAnsi="Arial"/>
                <w:sz w:val="18"/>
                <w:szCs w:val="18"/>
                <w:color w:val="auto"/>
                <w:w w:val="88"/>
              </w:rPr>
              <w:t>65%</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67%</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2.90%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1.97%</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2.38%</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2.90%</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1.83%</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2.41%</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Expected life (in years)</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5.38</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70"/>
              <w:spacing w:after="0"/>
              <w:rPr>
                <w:sz w:val="20"/>
                <w:szCs w:val="20"/>
                <w:color w:val="auto"/>
              </w:rPr>
            </w:pPr>
            <w:r>
              <w:rPr>
                <w:rFonts w:ascii="Arial" w:cs="Arial" w:eastAsia="Arial" w:hAnsi="Arial"/>
                <w:sz w:val="18"/>
                <w:szCs w:val="18"/>
                <w:color w:val="auto"/>
              </w:rPr>
              <w:t>10</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5.38</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210"/>
              <w:spacing w:after="0"/>
              <w:rPr>
                <w:sz w:val="20"/>
                <w:szCs w:val="20"/>
                <w:color w:val="auto"/>
              </w:rPr>
            </w:pPr>
            <w:r>
              <w:rPr>
                <w:rFonts w:ascii="Arial" w:cs="Arial" w:eastAsia="Arial" w:hAnsi="Arial"/>
                <w:sz w:val="18"/>
                <w:szCs w:val="18"/>
                <w:color w:val="auto"/>
              </w:rPr>
              <w:t>6</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5.38</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5.38</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4.52</w:t>
            </w: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4.66</w:t>
            </w: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4.53</w:t>
            </w: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4.85</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Company considers highly liquid investments with a maturity of three months or less when purchased to be cash equivalents. Cash and cash equivalents consisted primarily of cash on deposit in U.S., German, Swiss, Japanese and Canadian banks. Cash and cash equivalents are stated at cost which approximates fair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Financial instruments that potentially subject the Company to credit risk consist primarily of cash and cash equivalents. The Company holds these investments in highly-rated financial institutions, and limits the amounts of credit exposure to any one financial institution.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The Company follows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which establishes a fair value hierarchy for those instruments measured at fair value that distinguishes between assumptions based on market date (observable inputs) and the Company’s own assumptions (unobservable inputs). The hierarchy consists of three levels:</w:t>
      </w:r>
    </w:p>
    <w:p>
      <w:pPr>
        <w:spacing w:after="0" w:line="181" w:lineRule="exact"/>
        <w:rPr>
          <w:sz w:val="20"/>
          <w:szCs w:val="20"/>
          <w:color w:val="auto"/>
        </w:rPr>
      </w:pPr>
    </w:p>
    <w:p>
      <w:pPr>
        <w:ind w:left="880" w:hanging="332"/>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1—Unadjusted quoted prices in active markets for identical assets or liabilities.</w:t>
      </w:r>
    </w:p>
    <w:p>
      <w:pPr>
        <w:spacing w:after="0" w:line="23" w:lineRule="exact"/>
        <w:rPr>
          <w:rFonts w:ascii="Arial" w:cs="Arial" w:eastAsia="Arial" w:hAnsi="Arial"/>
          <w:sz w:val="18"/>
          <w:szCs w:val="18"/>
          <w:color w:val="auto"/>
        </w:rPr>
      </w:pPr>
    </w:p>
    <w:p>
      <w:pPr>
        <w:ind w:left="880" w:right="560" w:hanging="332"/>
        <w:spacing w:after="0" w:line="250"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2—Quoted prices for similar assets and liabilities in active markets, quoted prices in markets that are not active, or inputs which are observable, either directly or indirectly, for substantially the full term of the asset or liability.</w:t>
      </w:r>
    </w:p>
    <w:p>
      <w:pPr>
        <w:ind w:left="880" w:right="200" w:hanging="332"/>
        <w:spacing w:after="0" w:line="261"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3—Unobservable inputs that reflect the Company’s own assumptions about the assumptions market participants would use in pricing the asset or liability in which there is little, if any, market activity for the asset or liability at the measurement date.</w:t>
      </w:r>
    </w:p>
    <w:p>
      <w:pPr>
        <w:spacing w:after="0" w:line="184"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At June 30, 2018 and December 31, 2017, the Company did not have any assets or liabilities that are measured at fair value on a recurring basis. The carrying amounts reflected in the balance sheets for cash and cash equivalents, prepaid expenses and other current assets, accounts payable, and accrued expenses approximate their fair values at June 30, 2018 and December 31, 2017, due to their short-term nature.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Property and equipment, which consists of land, construction in process, furniture and fixtures, computers and office equipment, scientific equipment, leasehold improvements, vehicles and building are stated at cost and depreciated over the estimated useful lives of the assets, with the exception of land and construction in process which are not depreciated, using the straight line method. The useful lives are as follows:</w:t>
      </w:r>
    </w:p>
    <w:p>
      <w:pPr>
        <w:sectPr>
          <w:pgSz w:w="11900" w:h="16838" w:orient="portrait"/>
          <w:cols w:equalWidth="0" w:num="1">
            <w:col w:w="11380"/>
          </w:cols>
          <w:pgMar w:left="240" w:top="688" w:right="279" w:bottom="1440" w:gutter="0" w:footer="0" w:header="0"/>
        </w:sectPr>
      </w:pPr>
    </w:p>
    <w:p>
      <w:pPr>
        <w:spacing w:after="0" w:line="38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Furniture and fixtures</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Arial" w:cs="Arial" w:eastAsia="Arial" w:hAnsi="Arial"/>
          <w:sz w:val="15"/>
          <w:szCs w:val="15"/>
          <w:color w:val="auto"/>
        </w:rPr>
        <w:t>7 years</w:t>
      </w:r>
    </w:p>
    <w:p>
      <w:pPr>
        <w:spacing w:after="0" w:line="211" w:lineRule="exact"/>
        <w:rPr>
          <w:sz w:val="20"/>
          <w:szCs w:val="20"/>
          <w:color w:val="auto"/>
        </w:rPr>
      </w:pPr>
    </w:p>
    <w:p>
      <w:pPr>
        <w:sectPr>
          <w:pgSz w:w="11900" w:h="16838" w:orient="portrait"/>
          <w:cols w:equalWidth="0" w:num="2">
            <w:col w:w="4200" w:space="720"/>
            <w:col w:w="6460"/>
          </w:cols>
          <w:pgMar w:left="240" w:top="688" w:right="279" w:bottom="1440" w:gutter="0" w:footer="0" w:header="0"/>
          <w:type w:val="continuous"/>
        </w:sectPr>
      </w:pP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Office equipment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211" w:lineRule="exact"/>
        <w:rPr>
          <w:sz w:val="20"/>
          <w:szCs w:val="20"/>
          <w:color w:val="auto"/>
        </w:rPr>
      </w:pPr>
    </w:p>
    <w:p>
      <w:pPr>
        <w:sectPr>
          <w:pgSz w:w="11900" w:h="16838" w:orient="portrait"/>
          <w:cols w:equalWidth="0" w:num="2">
            <w:col w:w="4200" w:space="720"/>
            <w:col w:w="6460"/>
          </w:cols>
          <w:pgMar w:left="240" w:top="688" w:right="279" w:bottom="1440" w:gutter="0" w:footer="0" w:header="0"/>
          <w:type w:val="continuous"/>
        </w:sectPr>
      </w:pP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Leasehold improvements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2700"/>
        <w:spacing w:after="0"/>
        <w:rPr>
          <w:sz w:val="20"/>
          <w:szCs w:val="20"/>
          <w:color w:val="auto"/>
        </w:rPr>
      </w:pPr>
      <w:r>
        <w:rPr>
          <w:rFonts w:ascii="Arial" w:cs="Arial" w:eastAsia="Arial" w:hAnsi="Arial"/>
          <w:sz w:val="16"/>
          <w:szCs w:val="16"/>
          <w:color w:val="auto"/>
        </w:rPr>
        <w:t>Shorter of asset’s useful life or remaining lease term</w:t>
      </w:r>
    </w:p>
    <w:p>
      <w:pPr>
        <w:spacing w:after="0" w:line="200" w:lineRule="exact"/>
        <w:rPr>
          <w:sz w:val="20"/>
          <w:szCs w:val="20"/>
          <w:color w:val="auto"/>
        </w:rPr>
      </w:pPr>
    </w:p>
    <w:p>
      <w:pPr>
        <w:sectPr>
          <w:pgSz w:w="11900" w:h="16838" w:orient="portrait"/>
          <w:cols w:equalWidth="0" w:num="2">
            <w:col w:w="4200" w:space="720"/>
            <w:col w:w="6460"/>
          </w:cols>
          <w:pgMar w:left="240" w:top="688" w:right="279" w:bottom="1440" w:gutter="0" w:footer="0" w:header="0"/>
          <w:type w:val="continuous"/>
        </w:sectPr>
      </w:pP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Scientific equipment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211" w:lineRule="exact"/>
        <w:rPr>
          <w:sz w:val="20"/>
          <w:szCs w:val="20"/>
          <w:color w:val="auto"/>
        </w:rPr>
      </w:pPr>
    </w:p>
    <w:p>
      <w:pPr>
        <w:sectPr>
          <w:pgSz w:w="11900" w:h="16838" w:orient="portrait"/>
          <w:cols w:equalWidth="0" w:num="2">
            <w:col w:w="4200" w:space="720"/>
            <w:col w:w="6460"/>
          </w:cols>
          <w:pgMar w:left="240" w:top="688" w:right="279" w:bottom="1440" w:gutter="0" w:footer="0" w:header="0"/>
          <w:type w:val="continuous"/>
        </w:sectPr>
      </w:pP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Vehicles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211" w:lineRule="exact"/>
        <w:rPr>
          <w:sz w:val="20"/>
          <w:szCs w:val="20"/>
          <w:color w:val="auto"/>
        </w:rPr>
      </w:pPr>
    </w:p>
    <w:p>
      <w:pPr>
        <w:sectPr>
          <w:pgSz w:w="11900" w:h="16838" w:orient="portrait"/>
          <w:cols w:equalWidth="0" w:num="2">
            <w:col w:w="4200" w:space="720"/>
            <w:col w:w="6460"/>
          </w:cols>
          <w:pgMar w:left="240" w:top="688" w:right="279" w:bottom="1440" w:gutter="0" w:footer="0" w:header="0"/>
          <w:type w:val="continuous"/>
        </w:sectPr>
      </w:pP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Building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39 years</w:t>
      </w:r>
    </w:p>
    <w:p>
      <w:pPr>
        <w:spacing w:after="0" w:line="222" w:lineRule="exact"/>
        <w:rPr>
          <w:sz w:val="20"/>
          <w:szCs w:val="20"/>
          <w:color w:val="auto"/>
        </w:rPr>
      </w:pPr>
    </w:p>
    <w:p>
      <w:pPr>
        <w:sectPr>
          <w:pgSz w:w="11900" w:h="16838" w:orient="portrait"/>
          <w:cols w:equalWidth="0" w:num="2">
            <w:col w:w="4200" w:space="720"/>
            <w:col w:w="6460"/>
          </w:cols>
          <w:pgMar w:left="240" w:top="688" w:right="279" w:bottom="1440" w:gutter="0" w:footer="0" w:header="0"/>
          <w:type w:val="continuous"/>
        </w:sectPr>
      </w:pPr>
    </w:p>
    <w:p>
      <w:pPr>
        <w:spacing w:after="0" w:line="3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Costs of major additions and betterments are capitalized; maintenance and repairs, which do not improve or extend the life of the respective assets, are charged to expense as incurred. Upon retirement or sale, the cost of the disposed asset and the related accumulated depreciation are removed from the accounts and the resulting gain or loss is recognized.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The Company periodically evaluates its long-lived assets for potential impairment in accordance with ASC Topic 360, </w:t>
      </w:r>
      <w:r>
        <w:rPr>
          <w:rFonts w:ascii="Arial" w:cs="Arial" w:eastAsia="Arial" w:hAnsi="Arial"/>
          <w:sz w:val="16"/>
          <w:szCs w:val="16"/>
          <w:i w:val="1"/>
          <w:iCs w:val="1"/>
          <w:color w:val="auto"/>
        </w:rPr>
        <w:t>Property, Plant and</w:t>
      </w:r>
      <w:r>
        <w:rPr>
          <w:rFonts w:ascii="Arial" w:cs="Arial" w:eastAsia="Arial" w:hAnsi="Arial"/>
          <w:sz w:val="16"/>
          <w:szCs w:val="16"/>
          <w:color w:val="auto"/>
        </w:rPr>
        <w:t xml:space="preserve"> </w:t>
      </w:r>
      <w:r>
        <w:rPr>
          <w:rFonts w:ascii="Arial" w:cs="Arial" w:eastAsia="Arial" w:hAnsi="Arial"/>
          <w:sz w:val="16"/>
          <w:szCs w:val="16"/>
          <w:i w:val="1"/>
          <w:iCs w:val="1"/>
          <w:color w:val="auto"/>
        </w:rPr>
        <w:t>Equipment</w:t>
      </w:r>
      <w:r>
        <w:rPr>
          <w:rFonts w:ascii="Arial" w:cs="Arial" w:eastAsia="Arial" w:hAnsi="Arial"/>
          <w:sz w:val="16"/>
          <w:szCs w:val="16"/>
          <w:color w:val="auto"/>
        </w:rPr>
        <w:t>. Potential impairment is assessed when there is evidence that events or changes in circumstances indicate that the carrying amount of an asset may</w:t>
      </w:r>
      <w:r>
        <w:rPr>
          <w:rFonts w:ascii="Arial" w:cs="Arial" w:eastAsia="Arial" w:hAnsi="Arial"/>
          <w:sz w:val="16"/>
          <w:szCs w:val="16"/>
          <w:i w:val="1"/>
          <w:iCs w:val="1"/>
          <w:color w:val="auto"/>
        </w:rPr>
        <w:t xml:space="preserve"> </w:t>
      </w:r>
      <w:r>
        <w:rPr>
          <w:rFonts w:ascii="Arial" w:cs="Arial" w:eastAsia="Arial" w:hAnsi="Arial"/>
          <w:sz w:val="16"/>
          <w:szCs w:val="16"/>
          <w:color w:val="auto"/>
        </w:rPr>
        <w:t>not be recovered. Recoverability of these assets is assessed based on undiscounted expected future cash flows from the assets, considering a number of factors, including past operating results, budgets and economic projections, market trends and product development cycles. If impairments are identified, assets are written down to their estimated fair value. The Company has not recognized any impairment through June 30, 2018.</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Company makes estimates and judgments in determining the need for a provision for income taxes, including the estimation of its taxable income or loss for the full fiscal year. The Company has accumulated significant deferred tax assets that reflect the tax effects of net operating losses and tax credit carryovers and temporary differences between the carrying amounts of assets and liabilities for financial reporting purposes and the amounts used for income tax purposes. Realization of certain deferred tax assets is dependent upon future earnings. The Company is uncertain about the timing and amount of any future earnings. Accordingly, the Company offsets these deferred tax assets with a valuation allowance. The Company may in the future determine that certain deferred tax assets will likely be realized, in which case the Company will reduce its valuation allowance in the period in which such determination is made. If the valuation allowance is reduced, the Company may recognize a benefit from income taxes in its consolidated statements of operations in that period.</w:t>
      </w:r>
    </w:p>
    <w:p>
      <w:pPr>
        <w:spacing w:after="0" w:line="192"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GAAP guidance requires recognition of the impact of a tax position in our financial statements only if that position is more likely than not to be sustained upon examination by taxing authorities, based on the technical merits of the position. Any interest and penalties related to uncertain tax positions will be reflected in income tax expense. Determining the consolidated provision for income taxes involves judgments, estimates and the application of complex tax regulations. We are required to provide for income taxes in each of the jurisdictions where we operate, including estimated liabilities for uncertain tax positions. Although we believe that we have provided adequate liabilities for uncertain tax positions, the actual liability resulting from examinations by taxing authorities could differ from the recorded income tax liabilities and could result in additional income tax expense having a material impact on our consolidated results of operations. Changes of estimates in our income tax liabilities are reflected in our income tax provision in the period in which the factors resulting in the change to our estimate become known to us. We benefit from the tax credit incentives under the U.S. research and experimentation tax credit extended to taxpayers engaged in qualified research and experimental activities while carrying on a trade or business.</w:t>
      </w:r>
    </w:p>
    <w:p>
      <w:pPr>
        <w:spacing w:after="0" w:line="16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December 22, 2017, the President of the United States signed into law the Tax Cuts and Jobs Act, or TCJA, tax reform legislation. The TCJA makes significant changes in U.S. tax law including a reduction in the corporate tax rates, changes to net operating loss carryforwards and carrybacks, and a repeal of the corporate alternative minimum tax. The TCJA reduced the U.S. corporate tax rate from the current rate of 34 percent down to 21 percent starting on January 1, 2018. As a result of the TCJA, the Company was required to revalue deferred tax assets and liabilities at 21 percent. As of and for the year ended December 31, 2017, this revaluation resulted in a provision of $4.5 million to income tax expense in continuing operations and a corresponding reduction in the valuation allowance. As a result, there was no impact to the Company’s consolidated statements of comprehensive loss as a result of the reduction in tax rates.</w:t>
      </w:r>
    </w:p>
    <w:p>
      <w:pPr>
        <w:spacing w:after="0" w:line="189"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As the Company does not have all of the necessary information to analyze all income tax effects of the TCJA, the Company will continue to make and refine calculations and estimates as additional information is obtained, which could potentially affect the provisional amounts relating to the deferred income taxes, including but not limited to deferred tax assets related to share-based compensation expenses. Where the Company has not yet been able to make reasonable estimates of the impact of certain elements, the Company has not recorded any amounts related to those elements and has continued accounting for them in accordance with ASC 740 on the basis of the tax laws in effect immediately prior to the enactment of the TCJA. The Company expects to complete a detailed analysis no later than the fourth quarter of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229"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Certain transactions are denominated in a currency other than the Company’s functional currency of the U.S. dollar, and the Company generates assets and liabilities that are fixed in terms of the amount of foreign currency that will be received or paid. At each balance sheet date, the Company adjusts the assets and liabilities to reflect the current exchange rate, resulting in a translation gain or loss. Transaction gains and losses are also realized upon a settlement of a foreign currency transaction in determining net loss for the period in which the transaction is settled.</w:t>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Comprehensive Income (Loss)</w:t>
      </w:r>
    </w:p>
    <w:p>
      <w:pPr>
        <w:spacing w:after="0" w:line="22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 xml:space="preserve">ASC Topic 220, </w:t>
      </w:r>
      <w:r>
        <w:rPr>
          <w:rFonts w:ascii="Arial" w:cs="Arial" w:eastAsia="Arial" w:hAnsi="Arial"/>
          <w:sz w:val="18"/>
          <w:szCs w:val="18"/>
          <w:i w:val="1"/>
          <w:iCs w:val="1"/>
          <w:color w:val="auto"/>
        </w:rPr>
        <w:t>Comprehensive Income</w:t>
      </w:r>
      <w:r>
        <w:rPr>
          <w:rFonts w:ascii="Arial" w:cs="Arial" w:eastAsia="Arial" w:hAnsi="Arial"/>
          <w:sz w:val="18"/>
          <w:szCs w:val="18"/>
          <w:color w:val="auto"/>
        </w:rPr>
        <w:t>, requires that all components of comprehensive income (loss), including net income (loss), be reported in the financial statements in the period in which they are recognized. Comprehensive income (loss) is defined as the change in equity during a period from transactions and other events and circumstances from non-owner sources, including unrealized gains and losses on investments and foreign currency translation adjustments.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229"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Operating segments are identified as components of an enterprise about which separate discrete financial information is available for evaluation by the chief operating decision maker, or decision making group, in making decisions on how to allocate resources and assess performance. The Company’s chief operating decision maker is the Chief Executive Officer. The Company and the chief operating decision maker view the Company’s operations and manage its business as one operating segment. Substantially all of the Company’s operations are in the U.S. geographic segment.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jc w:val="both"/>
        <w:ind w:right="360" w:firstLine="648"/>
        <w:spacing w:after="0" w:line="312" w:lineRule="auto"/>
        <w:rPr>
          <w:sz w:val="20"/>
          <w:szCs w:val="20"/>
          <w:color w:val="auto"/>
        </w:rPr>
      </w:pPr>
      <w:r>
        <w:rPr>
          <w:rFonts w:ascii="Arial" w:cs="Arial" w:eastAsia="Arial" w:hAnsi="Arial"/>
          <w:sz w:val="16"/>
          <w:szCs w:val="16"/>
          <w:color w:val="auto"/>
        </w:rPr>
        <w:t>Net loss per share (“EPS”) is computed by dividing net loss by the weighted average number of common shares outstanding during each period. Diluted EPS is computed by dividing net loss by the weighted average number of common shares and common share equivalents outstanding (if dilutive) during each period. The number of common share equivalents, which include stock options, is computed using the treasury stock method.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The Company considered events or transactions occurring after the balance sheet date but prior to the date the consolidated financial statements are available to be issued for potential recognition or disclosure in its consolidated financial statements. The Company has evaluated subsequent events through the date of filing this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Pronouncements</w:t>
      </w:r>
    </w:p>
    <w:p>
      <w:pPr>
        <w:spacing w:after="0" w:line="225"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In February 2016, the FASB issued final guidance that will change the accounting for leases, Accounting Standards Update (ASU) No. 2016-02, “Leases.” The FASB issued final guidance that requires lessees to put most leases on their balance sheets but recognize expenses on their income statements in a manner similar to today’s accounting. The guidance also eliminates today’s real estate-specific provisions for all entities. The pronouncement will also require additional disclosures about the amount, timing and uncertainty of cash flows arising from leases. For calendar-year public business entities and certain calendar-year not-for-profit entities and employee benefit plans, the guidance is effective in 2019, and interim periods within that year, and early adoption is permitted. The adoption of this standard will require the Company to record its operating leases on the balance sheet. The Company is currently evaluating the impact of this pronouncement on the Company's consolidated financial statements.</w:t>
      </w:r>
    </w:p>
    <w:p>
      <w:pPr>
        <w:spacing w:after="0" w:line="174" w:lineRule="exact"/>
        <w:rPr>
          <w:sz w:val="20"/>
          <w:szCs w:val="20"/>
          <w:color w:val="auto"/>
        </w:rPr>
      </w:pPr>
    </w:p>
    <w:p>
      <w:pPr>
        <w:ind w:left="720" w:hanging="712"/>
        <w:spacing w:after="0"/>
        <w:tabs>
          <w:tab w:leader="none" w:pos="7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its Articles, the Company has an unlimited number of shares available for issuance with no par value.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From January through December 2016, 204 thousand shares of common stock were issued upon the exercise of stock options at a price of $0.74 to $19.09 per share for total proceeds of $1.1 million.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4" w:name="page15"/>
    <w:bookmarkEnd w:id="14"/>
    <w:p>
      <w:pPr>
        <w:ind w:firstLine="648"/>
        <w:spacing w:after="0" w:line="277" w:lineRule="auto"/>
        <w:rPr>
          <w:sz w:val="20"/>
          <w:szCs w:val="20"/>
          <w:color w:val="auto"/>
        </w:rPr>
      </w:pPr>
      <w:r>
        <w:rPr>
          <w:rFonts w:ascii="Arial" w:cs="Arial" w:eastAsia="Arial" w:hAnsi="Arial"/>
          <w:sz w:val="18"/>
          <w:szCs w:val="18"/>
          <w:color w:val="auto"/>
        </w:rPr>
        <w:t>From November through December 2016, under the Common Stock Sales Agreement with H.C. Wainwright &amp; Co. LLC, the Company sold 145 thousand shares of common stock at a price between $13.60 to $14.17 per share for total proceeds of $1.8 million.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February 2017, under the Common Stock Sales Agreement with H.C. Wainwright &amp; Co. LLC, the Company sold 87 thousand shares of common stock at a price between $12.09 to $12.37 per share for total proceeds of $1.0 million.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March 2017, the Company sold 2.4 million shares of common stock at a net price of $13.00 for total proceeds of approximately $31.6 million from investors.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From January through December 2017, 290 thousand shares of common stock were issued upon the exercise of stock options at a price of $2.50 to $14.71 per share for a total of $703 thousand.</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From January through March 2018, 81 thousand shares of common stock were issued upon the exercise of stock options at a price of $2.50 per share for total proceeds of $201 thousand.</w:t>
      </w:r>
    </w:p>
    <w:p>
      <w:pPr>
        <w:spacing w:after="0" w:line="166" w:lineRule="exact"/>
        <w:rPr>
          <w:sz w:val="20"/>
          <w:szCs w:val="20"/>
          <w:color w:val="auto"/>
        </w:rPr>
      </w:pPr>
    </w:p>
    <w:p>
      <w:pPr>
        <w:ind w:left="720" w:hanging="712"/>
        <w:spacing w:after="0"/>
        <w:tabs>
          <w:tab w:leader="none" w:pos="7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Options</w:t>
      </w:r>
    </w:p>
    <w:p>
      <w:pPr>
        <w:spacing w:after="0" w:line="229"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On November 11, 2005 and April 1, 2015, the board of directors of the Company adopted stock option plans (“the Plans”) pursuant to which the Company may grant incentive stock options to directors, officers, employees or consultants of the Company or an affiliate or other persons as the Compensation Committee may approve.</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All options will be non-transferable and may be exercised only by the participant, or in the event of the death of the participant, a legal representative until the earlier of the options’ expiry date or the first anniversary of the participant’s death, or such other date as may be specified by the Compensation Committee.</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term of the options is at the discretion of the Compensation Committee, but may not exceed 10 years from the grant date. The options expire on the earlier of the expiration date or the date three months following the day on which the participant ceases to be an officer or employee of or consultant to the Company, or in the event of the termination of the participant with cause, the date of such termination. Options held by non-employee Directors have an exercise period coterminous with the term of the options.</w:t>
      </w:r>
    </w:p>
    <w:p>
      <w:pPr>
        <w:spacing w:after="0" w:line="187"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The number of common shares reserved for issuance to any one person pursuant to the Plans shall not, in aggregate, exceed 5% of the total number of outstanding common shares. The exercise price per common share under each option will be the fair market value of such shares at the time of the grant. Upon stock option exercise, the Company issues new shares of common stock.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changes in common stock options issued under the Plans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w w:val="98"/>
              </w:rPr>
              <w:t>Weighted-Average</w:t>
            </w:r>
          </w:p>
        </w:tc>
        <w:tc>
          <w:tcPr>
            <w:tcW w:w="0" w:type="dxa"/>
            <w:vAlign w:val="bottom"/>
          </w:tcPr>
          <w:p>
            <w:pPr>
              <w:spacing w:after="0"/>
              <w:rPr>
                <w:sz w:val="1"/>
                <w:szCs w:val="1"/>
                <w:color w:val="auto"/>
              </w:rPr>
            </w:pPr>
          </w:p>
        </w:tc>
      </w:tr>
      <w:tr>
        <w:trPr>
          <w:trHeight w:val="234"/>
        </w:trPr>
        <w:tc>
          <w:tcPr>
            <w:tcW w:w="4360" w:type="dxa"/>
            <w:vAlign w:val="bottom"/>
            <w:tcBorders>
              <w:bottom w:val="single" w:sz="8" w:color="CCEEFF"/>
            </w:tcBorders>
          </w:tcPr>
          <w:p>
            <w:pPr>
              <w:spacing w:after="0"/>
              <w:rPr>
                <w:sz w:val="20"/>
                <w:szCs w:val="20"/>
                <w:color w:val="auto"/>
              </w:rPr>
            </w:pPr>
          </w:p>
        </w:tc>
        <w:tc>
          <w:tcPr>
            <w:tcW w:w="204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Options</w:t>
            </w:r>
          </w:p>
        </w:tc>
        <w:tc>
          <w:tcPr>
            <w:tcW w:w="158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Exercise Price</w:t>
            </w:r>
          </w:p>
        </w:tc>
        <w:tc>
          <w:tcPr>
            <w:tcW w:w="1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Exercise Price</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2017</w:t>
            </w:r>
          </w:p>
        </w:tc>
        <w:tc>
          <w:tcPr>
            <w:tcW w:w="20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5,303,624</w:t>
            </w:r>
          </w:p>
        </w:tc>
        <w:tc>
          <w:tcPr>
            <w:tcW w:w="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7"/>
              </w:rPr>
              <w:t>$21.99</w:t>
            </w: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Granted</w:t>
            </w:r>
          </w:p>
        </w:tc>
        <w:tc>
          <w:tcPr>
            <w:tcW w:w="3820" w:type="dxa"/>
            <w:vAlign w:val="bottom"/>
            <w:gridSpan w:val="2"/>
          </w:tcPr>
          <w:p>
            <w:pPr>
              <w:jc w:val="right"/>
              <w:ind w:right="190"/>
              <w:spacing w:after="0"/>
              <w:rPr>
                <w:sz w:val="20"/>
                <w:szCs w:val="20"/>
                <w:color w:val="auto"/>
              </w:rPr>
            </w:pPr>
            <w:r>
              <w:rPr>
                <w:rFonts w:ascii="Arial" w:cs="Arial" w:eastAsia="Arial" w:hAnsi="Arial"/>
                <w:sz w:val="18"/>
                <w:szCs w:val="18"/>
                <w:color w:val="auto"/>
              </w:rPr>
              <w:t>822,500</w:t>
            </w:r>
          </w:p>
        </w:tc>
        <w:tc>
          <w:tcPr>
            <w:tcW w:w="580" w:type="dxa"/>
            <w:vAlign w:val="bottom"/>
          </w:tcPr>
          <w:p>
            <w:pPr>
              <w:ind w:left="200"/>
              <w:spacing w:after="0"/>
              <w:rPr>
                <w:sz w:val="20"/>
                <w:szCs w:val="20"/>
                <w:color w:val="auto"/>
              </w:rPr>
            </w:pPr>
            <w:r>
              <w:rPr>
                <w:rFonts w:ascii="Arial" w:cs="Arial" w:eastAsia="Arial" w:hAnsi="Arial"/>
                <w:sz w:val="18"/>
                <w:szCs w:val="18"/>
                <w:color w:val="auto"/>
              </w:rPr>
              <w:t>4.01</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tcPr>
          <w:p>
            <w:pPr>
              <w:jc w:val="center"/>
              <w:ind w:right="70"/>
              <w:spacing w:after="0"/>
              <w:rPr>
                <w:sz w:val="20"/>
                <w:szCs w:val="20"/>
                <w:color w:val="auto"/>
              </w:rPr>
            </w:pPr>
            <w:r>
              <w:rPr>
                <w:rFonts w:ascii="Arial" w:cs="Arial" w:eastAsia="Arial" w:hAnsi="Arial"/>
                <w:sz w:val="18"/>
                <w:szCs w:val="18"/>
                <w:color w:val="auto"/>
                <w:w w:val="91"/>
              </w:rPr>
              <w:t>5.13</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38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(80,500)</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2.5</w:t>
            </w:r>
          </w:p>
        </w:tc>
        <w:tc>
          <w:tcPr>
            <w:tcW w:w="68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Forfeitures</w:t>
            </w:r>
          </w:p>
        </w:tc>
        <w:tc>
          <w:tcPr>
            <w:tcW w:w="3820" w:type="dxa"/>
            <w:vAlign w:val="bottom"/>
            <w:gridSpan w:val="2"/>
          </w:tcPr>
          <w:p>
            <w:pPr>
              <w:jc w:val="right"/>
              <w:ind w:right="130"/>
              <w:spacing w:after="0"/>
              <w:rPr>
                <w:sz w:val="20"/>
                <w:szCs w:val="20"/>
                <w:color w:val="auto"/>
              </w:rPr>
            </w:pPr>
            <w:r>
              <w:rPr>
                <w:rFonts w:ascii="Arial" w:cs="Arial" w:eastAsia="Arial" w:hAnsi="Arial"/>
                <w:sz w:val="18"/>
                <w:szCs w:val="18"/>
                <w:color w:val="auto"/>
              </w:rPr>
              <w:t>(606,075)</w:t>
            </w:r>
          </w:p>
        </w:tc>
        <w:tc>
          <w:tcPr>
            <w:tcW w:w="580" w:type="dxa"/>
            <w:vAlign w:val="bottom"/>
          </w:tcPr>
          <w:p>
            <w:pPr>
              <w:ind w:left="200"/>
              <w:spacing w:after="0"/>
              <w:rPr>
                <w:sz w:val="20"/>
                <w:szCs w:val="20"/>
                <w:color w:val="auto"/>
              </w:rPr>
            </w:pPr>
            <w:r>
              <w:rPr>
                <w:rFonts w:ascii="Arial" w:cs="Arial" w:eastAsia="Arial" w:hAnsi="Arial"/>
                <w:sz w:val="18"/>
                <w:szCs w:val="18"/>
                <w:color w:val="auto"/>
              </w:rPr>
              <w:t>2.50</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tcPr>
          <w:p>
            <w:pPr>
              <w:jc w:val="center"/>
              <w:ind w:right="70"/>
              <w:spacing w:after="0"/>
              <w:rPr>
                <w:sz w:val="20"/>
                <w:szCs w:val="20"/>
                <w:color w:val="auto"/>
              </w:rPr>
            </w:pPr>
            <w:r>
              <w:rPr>
                <w:rFonts w:ascii="Arial" w:cs="Arial" w:eastAsia="Arial" w:hAnsi="Arial"/>
                <w:sz w:val="18"/>
                <w:szCs w:val="18"/>
                <w:color w:val="auto"/>
                <w:w w:val="88"/>
              </w:rPr>
              <w:t>19.09</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23"/>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June 30, 2018</w:t>
            </w:r>
          </w:p>
        </w:tc>
        <w:tc>
          <w:tcPr>
            <w:tcW w:w="2040" w:type="dxa"/>
            <w:vAlign w:val="bottom"/>
            <w:tcBorders>
              <w:top w:val="single" w:sz="8" w:color="CCEEFF"/>
              <w:bottom w:val="single" w:sz="8" w:color="CCEEFF"/>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5,439,549</w:t>
            </w:r>
          </w:p>
        </w:tc>
        <w:tc>
          <w:tcPr>
            <w:tcW w:w="58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$2.5</w:t>
            </w:r>
          </w:p>
        </w:tc>
        <w:tc>
          <w:tcPr>
            <w:tcW w:w="3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color w:val="auto"/>
                <w:w w:val="87"/>
              </w:rPr>
              <w:t>$21.99</w:t>
            </w:r>
          </w:p>
        </w:tc>
        <w:tc>
          <w:tcPr>
            <w:tcW w:w="16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040" w:type="dxa"/>
            <w:vAlign w:val="bottom"/>
            <w:vMerge w:val="restart"/>
          </w:tcPr>
          <w:p>
            <w:pPr>
              <w:jc w:val="right"/>
              <w:ind w:right="490"/>
              <w:spacing w:after="0"/>
              <w:rPr>
                <w:sz w:val="20"/>
                <w:szCs w:val="20"/>
                <w:color w:val="auto"/>
              </w:rPr>
            </w:pPr>
            <w:r>
              <w:rPr>
                <w:rFonts w:ascii="Arial" w:cs="Arial" w:eastAsia="Arial" w:hAnsi="Arial"/>
                <w:sz w:val="18"/>
                <w:szCs w:val="18"/>
                <w:color w:val="auto"/>
              </w:rPr>
              <w:t>15</w:t>
            </w:r>
          </w:p>
        </w:tc>
        <w:tc>
          <w:tcPr>
            <w:tcW w:w="1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36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360" w:type="dxa"/>
            <w:vAlign w:val="bottom"/>
            <w:shd w:val="clear" w:color="auto" w:fill="000000"/>
          </w:tcPr>
          <w:p>
            <w:pPr>
              <w:spacing w:after="0"/>
              <w:rPr>
                <w:sz w:val="5"/>
                <w:szCs w:val="5"/>
                <w:color w:val="auto"/>
              </w:rPr>
            </w:pPr>
          </w:p>
        </w:tc>
        <w:tc>
          <w:tcPr>
            <w:tcW w:w="2040" w:type="dxa"/>
            <w:vAlign w:val="bottom"/>
            <w:shd w:val="clear" w:color="auto" w:fill="000000"/>
          </w:tcPr>
          <w:p>
            <w:pPr>
              <w:spacing w:after="0"/>
              <w:rPr>
                <w:sz w:val="5"/>
                <w:szCs w:val="5"/>
                <w:color w:val="auto"/>
              </w:rPr>
            </w:pPr>
          </w:p>
        </w:tc>
        <w:tc>
          <w:tcPr>
            <w:tcW w:w="178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16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5" w:name="page16"/>
    <w:bookmarkEnd w:id="15"/>
    <w:p>
      <w:pPr>
        <w:ind w:right="440" w:firstLine="648"/>
        <w:spacing w:after="0" w:line="277" w:lineRule="auto"/>
        <w:rPr>
          <w:sz w:val="20"/>
          <w:szCs w:val="20"/>
          <w:color w:val="auto"/>
        </w:rPr>
      </w:pPr>
      <w:r>
        <w:rPr>
          <w:rFonts w:ascii="Arial" w:cs="Arial" w:eastAsia="Arial" w:hAnsi="Arial"/>
          <w:sz w:val="18"/>
          <w:szCs w:val="18"/>
          <w:color w:val="auto"/>
        </w:rPr>
        <w:t>As of June 30, 2018, there was approximately $3.2 million of unrecognized compensation cost, related to stock options granted under the Plans which will be amortized to stock compensation expense over the next 2.3 years.</w:t>
      </w:r>
    </w:p>
    <w:p>
      <w:pPr>
        <w:spacing w:after="0" w:line="166" w:lineRule="exact"/>
        <w:rPr>
          <w:sz w:val="20"/>
          <w:szCs w:val="20"/>
          <w:color w:val="auto"/>
        </w:rPr>
      </w:pPr>
    </w:p>
    <w:p>
      <w:pPr>
        <w:ind w:left="720" w:hanging="712"/>
        <w:spacing w:after="0"/>
        <w:tabs>
          <w:tab w:leader="none" w:pos="7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On January 12, 2008, the Company entered a lease agreement to lease a facility in Austin, Texas, U.S. On September 15, 2010, the Company entered into a second lease agreement to lease additional space in Austin, Texas, U.S. On March 20, 2013, the company extended the lease for another 21 months with the same terms and rental rates as the current leases. On February 28, 2015, the Company extended the leases for another four years with two years early termination right. The future minimum lease payments are as follows as of June 30, 2018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shd w:val="clear" w:color="auto" w:fill="CCEEFF"/>
          </w:tcPr>
          <w:p>
            <w:pPr>
              <w:jc w:val="right"/>
              <w:ind w:right="4650"/>
              <w:spacing w:after="0"/>
              <w:rPr>
                <w:sz w:val="20"/>
                <w:szCs w:val="20"/>
                <w:color w:val="auto"/>
              </w:rPr>
            </w:pPr>
            <w:r>
              <w:rPr>
                <w:rFonts w:ascii="Arial" w:cs="Arial" w:eastAsia="Arial" w:hAnsi="Arial"/>
                <w:sz w:val="18"/>
                <w:szCs w:val="18"/>
                <w:color w:val="auto"/>
                <w:w w:val="84"/>
              </w:rPr>
              <w:t>2018</w:t>
            </w:r>
          </w:p>
        </w:tc>
        <w:tc>
          <w:tcPr>
            <w:tcW w:w="5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r>
      <w:tr>
        <w:trPr>
          <w:trHeight w:val="230"/>
        </w:trPr>
        <w:tc>
          <w:tcPr>
            <w:tcW w:w="5100" w:type="dxa"/>
            <w:vAlign w:val="bottom"/>
          </w:tcPr>
          <w:p>
            <w:pPr>
              <w:jc w:val="right"/>
              <w:ind w:right="4650"/>
              <w:spacing w:after="0"/>
              <w:rPr>
                <w:sz w:val="20"/>
                <w:szCs w:val="20"/>
                <w:color w:val="auto"/>
              </w:rPr>
            </w:pPr>
            <w:r>
              <w:rPr>
                <w:rFonts w:ascii="Arial" w:cs="Arial" w:eastAsia="Arial" w:hAnsi="Arial"/>
                <w:sz w:val="18"/>
                <w:szCs w:val="18"/>
                <w:color w:val="auto"/>
                <w:w w:val="84"/>
              </w:rPr>
              <w:t>2019</w:t>
            </w:r>
          </w:p>
        </w:tc>
        <w:tc>
          <w:tcPr>
            <w:tcW w:w="53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79</w:t>
            </w:r>
          </w:p>
        </w:tc>
      </w:tr>
    </w:tbl>
    <w:p>
      <w:pPr>
        <w:spacing w:after="0" w:line="18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Rent expense for the three months and six months ended June 30, 2018 were $193 thousand and $393 thousand, respectively, compared to $186 thousand and $372 thousand for the three months and six months ended June 30, 2017, respectively.</w:t>
      </w:r>
    </w:p>
    <w:p>
      <w:pPr>
        <w:spacing w:after="0" w:line="17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On December 1, 2015, a purported securities class action complaint captioned Yogina Rezko v. XBiotech Inc., John Simard, Queena Han and WR Hambrecht &amp; Co., LLC was filed against the Company, certain of its officers and directors and the underwriter for its initial public offering in the Superior Court for the State of California, Los Angeles County. On December 2, 2015, a purported securities class action complaint captioned Linh Tran v. XBiotech Inc., John Simard and Queena Han was filed against the Company and certain of its officers and directors in U.S. District Court for the Western District of Texas. The lawsuits are based on substantially similar factual allegations and purport to be class actions brought on behalf of purchasers of the Company's securities during the period from April 15, 2015 through November 23, 2015. The complaint filed in California state court alleges that the defendants violated the Securities Act of 1933, as amended (the "Securities Act"), and the complaint filed in federal court alleges that the defendants violated the Securities Exchange Act of 1934, as amended (the "Exchange Act"), in each case by making materially false and misleading statements concerning the Company's Phase III clinical trial conducted in Europe to assess Xilonix™ as a treatment for colorectal cancer. The California complaint purports to assert claims for violations of Sections 11, 12(a)(2) and 15 of the Securities Act, and the federal complaint purports to assert claims for violation of Sections 10(b) and 20(a) of the Exchange Act and Rule 10b-5 promulgated thereunder. Both complaints seek, on behalf of the purported class, an unspecified amount of monetary damages, interest, fees and expenses of attorneys and experts, and other relief.</w:t>
      </w:r>
    </w:p>
    <w:p>
      <w:pPr>
        <w:spacing w:after="0" w:line="18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September 2016, a stay was granted at the Superior Court for the State of California, Los Angeles County, in Yogina Rezko v. XBiotech Inc., John Simard, Queena Han and WR Hambrecht &amp; Co., LLC, in light of the ongoing case, Linh Tran v. XBiotech Inc., John Simard and Queena Han, in the U.S. District Court for the Western District of Texas, leaving plaintiffs with an opportunity re-file a complaint in Texas. In October 2016, the Texas securities class action lawsuit was dismissed with prejudice. At the June 7, 2017 hearing at the Superior Court for the State of California, Los Angeles County, the Company was granted a motion on the grounds of forum non conveniens. The judge ruled that the case belonged in Texas, not in California. The case is nevertheless stayed, due to California procedural rules, and not dismissed.</w:t>
      </w:r>
    </w:p>
    <w:p>
      <w:pPr>
        <w:spacing w:after="0" w:line="19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plaintiffs re-filed their suit in Travis County district court, located in Austin, Texas, on July 6, 2017. The Company subsequently removed the case to the U.S. District Court for the Western District of Texas. Following a recent Supreme Court decision holding that the types of claims asserted in this action are non-removable, the suit was remanded back to Travis County district court, where it remains pending. The Company believes the claims asserted in the case are without merit and intends to mount a vigorous defense.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XBiotech Inc. (“XBiotech” or the “Company) is a pre-market biopharmaceutical company engaged in discovering and developing True Human™ monoclonal antibodies for treating a variety of diseases. True Human™ monoclonal antibodies are those which occur naturally in human beings—as opposed to being derived from animal immunization or otherwise engineered. We believe that naturally occurring monoclonal antibodies have the potential to be safer and more effective than their non-naturally occurring counterparts. XBiotech is focused on developing its True Human™ pipeline and manufacturing system.</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never been profitable and, as of June 30, 2018, we had an accumulated deficit of $226.5 million. We had net losses of $5.9 million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$10.0 million for the three months and six months ended June 30, 2018, respectively, compared to $9.1 million and $19.7 million for the three months and six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months ended June 30, 2017, respectively. We expect to incur significant and increasing operating losses for the foreseeable future as we advance our drug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candidates from discovery through preclinical testing and clinical trials and seek regulatory approval and eventual commercialization. In addition to these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increasing research and development expenses, we expect general and administrative costs to increase as we add personnel and continue to operate as a public</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company. We will need to generate significant revenues to achieve profitability, and we may never do so. As of June 30, 2018, we had 45 employees.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Clinical Programs</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XBiotech recently announced launch of a Phase 2, open label clinical trial to evaluate the Company’s True Human™ monoclonal antibody, MABp1 (bermekimab), in patients with moderate to severe Atopic Dermatitis (AD). The Company will be introducing its new pre-filled syringes to deliver bermekimab by subcutaneous injection. The Company has just released its first production lot of pre-filled syringes which contain a highly concentrated formulation of bermekimab, allowing dosing of 400mg in a single, convenient injection. The study will test the subcutaneous bermekimab therapy in AD patients after only 4 or 8 weeks of treatment, compared with the 16 week treatment regimen currently used for the only approved antibody therapy for AD. Longer treatment durations may be needed to achieve optimal clinical activity with bermekimab, particularly when there are severe skin lesions. Evaluating the subcutaneous dose, rapidity, and extent of response is the purpose of the study. Findings from the AD study could establish the basis for further randomized studies that would be necessary for the purpose of product registration.</w:t>
      </w:r>
    </w:p>
    <w:p>
      <w:pPr>
        <w:spacing w:after="0" w:line="17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During the present quarter XBiotech also announced launch of a Phase 2, open label clinical study to evaluate bermekimab in patients with moderate to severe Hidradenitis Suppurativa (HS). The HS study will evaluate subcutaneous administered of bermekimab in a 13 week open label treatment regimen, treating both patients having failed anti-TNF treatments and those with no prior anti-TNF treatment history. There is currently an antibody therapy to block TNF. However, it is estimated that approximately 75% of patients will either fail to respond to the anti-TNF therapy or relapse after an initial response. The Company has already demonstrated in a double-blind, placebo controlled study that bermekimab, when administered as an intravenous therapy, is effective in treating patients that have failed anti-TNF therapy. The current study will evaluate whether subcutaneous administration, using pre-filled syringes, is similarly effective as bermekimab intravenous therapy. If so, the pre-filled syringe product candidate will have a beneficial impact on the convenience of the candidate therapy. If the subcutaneous therapy is found to be similarly effective, additional studies will need to be conducted to obtain marketing approval.</w:t>
      </w:r>
    </w:p>
    <w:p>
      <w:pPr>
        <w:spacing w:after="0" w:line="166"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XBiotech is currently supporting a physician-sponsored clinical research study headed by Dr. Andrew Hendifar, MD, at Cedars-Sinai Medical Center. The study is being conducted to examine the safety of bermekimab in combination with Onivyde (nanoliposomal irinotecan) and 5- fluorouracil (5FU)/folinic acid (leucovorin) for pancreatic cancer patients suffering from cachexia. In a large randomized study in advanced cancer patients treated with bermekimab, patients experienced increased lean body mass after treatment. This increase could lead to improved weight maintenance and quality of life in pancreatic cancer patients. The study will therefore evaluate whether a correlation between cachexia, activity, and quality of life exists for patients receiving the bemekimab therapy. To date, more than half of the number of patients targeted for the study have been enrolled. Clinical results are expected to be reported later in 2018.</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17" w:name="page18"/>
    <w:bookmarkEnd w:id="17"/>
    <w:p>
      <w:pPr>
        <w:ind w:right="20" w:firstLine="648"/>
        <w:spacing w:after="0" w:line="270" w:lineRule="auto"/>
        <w:rPr>
          <w:sz w:val="20"/>
          <w:szCs w:val="20"/>
          <w:color w:val="auto"/>
        </w:rPr>
      </w:pPr>
      <w:r>
        <w:rPr>
          <w:rFonts w:ascii="Arial" w:cs="Arial" w:eastAsia="Arial" w:hAnsi="Arial"/>
          <w:sz w:val="17"/>
          <w:szCs w:val="17"/>
          <w:color w:val="auto"/>
        </w:rPr>
        <w:t xml:space="preserve">In 2017, XBiotech completed a double-blind, placebo controlled study using its True Human™ antibody, 514G3 to treat patients with </w:t>
      </w:r>
      <w:r>
        <w:rPr>
          <w:rFonts w:ascii="Arial" w:cs="Arial" w:eastAsia="Arial" w:hAnsi="Arial"/>
          <w:sz w:val="17"/>
          <w:szCs w:val="17"/>
          <w:i w:val="1"/>
          <w:iCs w:val="1"/>
          <w:color w:val="auto"/>
        </w:rPr>
        <w:t xml:space="preserve">Staphylococcus aureus </w:t>
      </w:r>
      <w:r>
        <w:rPr>
          <w:rFonts w:ascii="Arial" w:cs="Arial" w:eastAsia="Arial" w:hAnsi="Arial"/>
          <w:sz w:val="17"/>
          <w:szCs w:val="17"/>
          <w:color w:val="auto"/>
        </w:rPr>
        <w:t>(</w:t>
      </w:r>
      <w:r>
        <w:rPr>
          <w:rFonts w:ascii="Arial" w:cs="Arial" w:eastAsia="Arial" w:hAnsi="Arial"/>
          <w:sz w:val="17"/>
          <w:szCs w:val="17"/>
          <w:i w:val="1"/>
          <w:iCs w:val="1"/>
          <w:color w:val="auto"/>
        </w:rPr>
        <w:t>S. aureus</w:t>
      </w:r>
      <w:r>
        <w:rPr>
          <w:rFonts w:ascii="Arial" w:cs="Arial" w:eastAsia="Arial" w:hAnsi="Arial"/>
          <w:sz w:val="17"/>
          <w:szCs w:val="17"/>
          <w:color w:val="auto"/>
        </w:rPr>
        <w:t>) bacteremia. The results of this study showed that patients with life-threatening</w:t>
      </w:r>
      <w:r>
        <w:rPr>
          <w:rFonts w:ascii="Arial" w:cs="Arial" w:eastAsia="Arial" w:hAnsi="Arial"/>
          <w:sz w:val="17"/>
          <w:szCs w:val="17"/>
          <w:i w:val="1"/>
          <w:iCs w:val="1"/>
          <w:color w:val="auto"/>
        </w:rPr>
        <w:t xml:space="preserve"> S. aureus </w:t>
      </w:r>
      <w:r>
        <w:rPr>
          <w:rFonts w:ascii="Arial" w:cs="Arial" w:eastAsia="Arial" w:hAnsi="Arial"/>
          <w:sz w:val="17"/>
          <w:szCs w:val="17"/>
          <w:color w:val="auto"/>
        </w:rPr>
        <w:t>infections treated with a single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dose of the 514G3 expereienced shorter hospital stays, fewer </w:t>
      </w:r>
      <w:r>
        <w:rPr>
          <w:rFonts w:ascii="Arial" w:cs="Arial" w:eastAsia="Arial" w:hAnsi="Arial"/>
          <w:sz w:val="17"/>
          <w:szCs w:val="17"/>
          <w:i w:val="1"/>
          <w:iCs w:val="1"/>
          <w:color w:val="auto"/>
        </w:rPr>
        <w:t>S. aureus</w:t>
      </w:r>
      <w:r>
        <w:rPr>
          <w:rFonts w:ascii="Arial" w:cs="Arial" w:eastAsia="Arial" w:hAnsi="Arial"/>
          <w:sz w:val="17"/>
          <w:szCs w:val="17"/>
          <w:color w:val="auto"/>
        </w:rPr>
        <w:t xml:space="preserve"> related serious adverse events, and fewer serious adverse events of any kind compared to those who received placebo. The Company is now planning further clinical development of the 514G3 antibody. XBiotech plans to evaluate 514G3 as a prophylaxis to reduce the risk of </w:t>
      </w:r>
      <w:r>
        <w:rPr>
          <w:rFonts w:ascii="Arial" w:cs="Arial" w:eastAsia="Arial" w:hAnsi="Arial"/>
          <w:sz w:val="17"/>
          <w:szCs w:val="17"/>
          <w:i w:val="1"/>
          <w:iCs w:val="1"/>
          <w:color w:val="auto"/>
        </w:rPr>
        <w:t>S. aureus</w:t>
      </w:r>
      <w:r>
        <w:rPr>
          <w:rFonts w:ascii="Arial" w:cs="Arial" w:eastAsia="Arial" w:hAnsi="Arial"/>
          <w:sz w:val="17"/>
          <w:szCs w:val="17"/>
          <w:color w:val="auto"/>
        </w:rPr>
        <w:t xml:space="preserve"> infections in patients being treated with hemodialysis for kidney failure. Patients undergoing hemodialysis are at significant risk for life-threatening </w:t>
      </w:r>
      <w:r>
        <w:rPr>
          <w:rFonts w:ascii="Arial" w:cs="Arial" w:eastAsia="Arial" w:hAnsi="Arial"/>
          <w:sz w:val="17"/>
          <w:szCs w:val="17"/>
          <w:i w:val="1"/>
          <w:iCs w:val="1"/>
          <w:color w:val="auto"/>
        </w:rPr>
        <w:t>S. aureus</w:t>
      </w:r>
      <w:r>
        <w:rPr>
          <w:rFonts w:ascii="Arial" w:cs="Arial" w:eastAsia="Arial" w:hAnsi="Arial"/>
          <w:sz w:val="17"/>
          <w:szCs w:val="17"/>
          <w:color w:val="auto"/>
        </w:rPr>
        <w:t xml:space="preserve"> bacteremia. About one-half million patients currently receive over 50 million dialysis treatments annually in the U.S. Patients on hemodialysis have about a 20% one-year mortality risk while being treated. Infections are the second leading cause of death in these patients, and </w:t>
      </w:r>
      <w:r>
        <w:rPr>
          <w:rFonts w:ascii="Arial" w:cs="Arial" w:eastAsia="Arial" w:hAnsi="Arial"/>
          <w:sz w:val="17"/>
          <w:szCs w:val="17"/>
          <w:i w:val="1"/>
          <w:iCs w:val="1"/>
          <w:color w:val="auto"/>
        </w:rPr>
        <w:t>S. aureus</w:t>
      </w:r>
      <w:r>
        <w:rPr>
          <w:rFonts w:ascii="Arial" w:cs="Arial" w:eastAsia="Arial" w:hAnsi="Arial"/>
          <w:sz w:val="17"/>
          <w:szCs w:val="17"/>
          <w:color w:val="auto"/>
        </w:rPr>
        <w:t xml:space="preserve"> infections are the main cause of infectious morbidity and mortality. The Company is currently planning to use 514G3 as a prophylaxis to reduce </w:t>
      </w:r>
      <w:r>
        <w:rPr>
          <w:rFonts w:ascii="Arial" w:cs="Arial" w:eastAsia="Arial" w:hAnsi="Arial"/>
          <w:sz w:val="17"/>
          <w:szCs w:val="17"/>
          <w:i w:val="1"/>
          <w:iCs w:val="1"/>
          <w:color w:val="auto"/>
        </w:rPr>
        <w:t xml:space="preserve">S. aureus </w:t>
      </w:r>
      <w:r>
        <w:rPr>
          <w:rFonts w:ascii="Arial" w:cs="Arial" w:eastAsia="Arial" w:hAnsi="Arial"/>
          <w:sz w:val="17"/>
          <w:szCs w:val="17"/>
          <w:color w:val="auto"/>
        </w:rPr>
        <w:t>risk in hemodialysis patients, with a clinical study launch in 2019.</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Research &amp; Development</w:t>
      </w:r>
    </w:p>
    <w:p>
      <w:pPr>
        <w:spacing w:after="0" w:line="225" w:lineRule="exact"/>
        <w:rPr>
          <w:sz w:val="20"/>
          <w:szCs w:val="20"/>
          <w:color w:val="auto"/>
        </w:rPr>
      </w:pPr>
    </w:p>
    <w:p>
      <w:pPr>
        <w:ind w:right="60" w:firstLine="648"/>
        <w:spacing w:after="0" w:line="218" w:lineRule="exact"/>
        <w:rPr>
          <w:sz w:val="20"/>
          <w:szCs w:val="20"/>
          <w:color w:val="auto"/>
        </w:rPr>
      </w:pPr>
      <w:r>
        <w:rPr>
          <w:rFonts w:ascii="Arial" w:cs="Arial" w:eastAsia="Arial" w:hAnsi="Arial"/>
          <w:sz w:val="17"/>
          <w:szCs w:val="17"/>
          <w:color w:val="auto"/>
        </w:rPr>
        <w:t>During the present quarter a collaborative research project between XBiotech and a leading academic researcher yielded groundbreaking results on the role of interleukin-1alpha (IL-1</w:t>
      </w:r>
      <w:r>
        <w:rPr>
          <w:rFonts w:ascii="Arial Unicode MS" w:cs="Arial Unicode MS" w:eastAsia="Arial Unicode MS" w:hAnsi="Arial Unicode MS"/>
          <w:sz w:val="17"/>
          <w:szCs w:val="17"/>
          <w:color w:val="auto"/>
        </w:rPr>
        <w:t>⍺</w:t>
      </w:r>
      <w:r>
        <w:rPr>
          <w:rFonts w:ascii="Arial" w:cs="Arial" w:eastAsia="Arial" w:hAnsi="Arial"/>
          <w:sz w:val="17"/>
          <w:szCs w:val="17"/>
          <w:color w:val="auto"/>
        </w:rPr>
        <w:t>) in disease (IL-1</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is the target of bermekimab). The published findings centered around the discovery that IL-1</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produced from white blood cells may be a cause of blood clots that could lead to heart attacks or strokes. The research was headed by a world-leading cardiovascular researcher, Dr. Peter Libby, Mallinckrodt Professor of Medicine at Harvard Medical School and clinical cardiologist at Brigham and Women’s and Massachusetts General Hospital. Dr. Libby reported that white blood cells, known as neutrophils, can release blood clotting IL-1</w:t>
      </w:r>
      <w:r>
        <w:rPr>
          <w:rFonts w:ascii="Arial Unicode MS" w:cs="Arial Unicode MS" w:eastAsia="Arial Unicode MS" w:hAnsi="Arial Unicode MS"/>
          <w:sz w:val="17"/>
          <w:szCs w:val="17"/>
          <w:color w:val="auto"/>
        </w:rPr>
        <w:t>⍺</w:t>
      </w:r>
      <w:r>
        <w:rPr>
          <w:rFonts w:ascii="Arial" w:cs="Arial" w:eastAsia="Arial" w:hAnsi="Arial"/>
          <w:sz w:val="17"/>
          <w:szCs w:val="17"/>
          <w:color w:val="auto"/>
        </w:rPr>
        <w:t>, thus offering the potential for new treatment approach using XBiotech’s anti-IL-1</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antibody, bermekimab. The findings describe an intriguing mechanism whereby so called neutrophil extracellular traps (NETs), released from neutrophils, are laden with IL-1</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that is capable of activating cells of the artery wall in a way that in turn activates the blood clotting cells known as platelets. NETs have been implicated in a wide range of disease pathologies, from chronic obstructive pulmonary disease to cancer. While Dr. Libby’s findings specifically describe the role of NETs in forming blood clots, the clinical implications of the findings in human disease are thus considered far reaching.</w:t>
      </w:r>
    </w:p>
    <w:p>
      <w:pPr>
        <w:spacing w:after="0" w:line="206"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XBiotech has been developing a candidate True Human™ antibody therapy to treat or prevent shingles. Shingles, also known as herpes zoster, is a viral disease caused by varicella zoster virus (VZV). It occurs frequently in elderly persons, causing extremely painful skin rashes and blisters, which can occur on the body or face. The disease can be self-limiting with skin lesions healing and pain resolving within one month. Alternatively, the disease may be chronic, with debilitating nerve pain that can last for years or eye infections that can result in vision loss. The Company’s R&amp;D program for herpes zoster began by screening the healthy human population for antibodies that neutralize VZV and then isolating the genetic information encoding individual anti-VZV antibodies. Using this proprietary discovery technology, the Company succeeded in identifying high affinity antibodies against VZV. Since XBiotech does not presently have the capability to perform infectious disease research using the VZV virus in-house, the Company recently contracted an outside research organization to assess the ability of these antibodies to block VZV infectivity. Data has recently been provided by the contractor demonstrating that several of its anti-VZV antibodies do in fact block the ability of the VZV virus to infect cells. The Company plans to contract additional studies. There are no relevant animal models for shingles and the Company therefore expects to advance an antibody therapy for clinical trials based on these or similar cellular-based VZV infectivity studies. These antibodies against VZV are now being developed in our manufacturing production system, which could enable adequate quantities of antibody product for potential use in clinical trials and commercial development. If necessary, manufacturing of VZV antibodies will be done at the Company’s facility and headquarters in Austin, Texas.</w:t>
      </w:r>
    </w:p>
    <w:p>
      <w:pPr>
        <w:spacing w:after="0" w:line="18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XBiotech is developing an oral antibody therapy to treat </w:t>
      </w:r>
      <w:r>
        <w:rPr>
          <w:rFonts w:ascii="Arial" w:cs="Arial" w:eastAsia="Arial" w:hAnsi="Arial"/>
          <w:sz w:val="16"/>
          <w:szCs w:val="16"/>
          <w:i w:val="1"/>
          <w:iCs w:val="1"/>
          <w:color w:val="auto"/>
        </w:rPr>
        <w:t>Clostridium difficile</w:t>
      </w:r>
      <w:r>
        <w:rPr>
          <w:rFonts w:ascii="Arial" w:cs="Arial" w:eastAsia="Arial" w:hAnsi="Arial"/>
          <w:sz w:val="16"/>
          <w:szCs w:val="16"/>
          <w:color w:val="auto"/>
        </w:rPr>
        <w:t xml:space="preserve"> (CD) infections. The antibody therapy is aimed at treating a very serious form of diarrhea and intestinal inflammation caused by CD. CD infections may be transient or may progress to be life-threatening and are a leading cause of morbidity and mortality in hospital-acquired infections in the U.S. The incidence of CD infections has risen sharply over the last two decades with nearly 500,000 infections occurring in 2011 which resulted in 29,000 deaths, with mortality often occurring within 30 days of diagnosis. The R&amp;D program began with screening more than 500 healthy human volunteers for antibodies that neutralize the causative agent of the disease and isolating the genetic information encoding these antibodies in individuals. The Company searched for antibodies that could be expected, when taken orally, to be particularly effective at blocking both the motility of the bacteria and its ability to bind to the intestine. Using this proprietary discovery technology, the Company succeeded in identifying high affinity antibodies. Recently, the Company completed preliminary animal studies that showed that some of these antibodies are capable of reducing the severity of infection and injury to the intestine in CD infected animals. Antibody combinations (blocking both CD binding and motility) will now be evaluated to further improve effectiveness of a therapy to prevent CD. Based on these results, antibodies are now being developed in our manufacturing production system, which could enable adequate quantities of antibody product for potential use in clinical trials and commercial development. If necessary, manufacturing of CD antibodies will be done at the Company’s facility and headquarters in Austin, Texas.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8" w:name="page19"/>
    <w:bookmarkEnd w:id="18"/>
    <w:p>
      <w:pPr>
        <w:ind w:right="20" w:firstLine="648"/>
        <w:spacing w:after="0" w:line="269" w:lineRule="auto"/>
        <w:rPr>
          <w:sz w:val="20"/>
          <w:szCs w:val="20"/>
          <w:color w:val="auto"/>
        </w:rPr>
      </w:pPr>
      <w:r>
        <w:rPr>
          <w:rFonts w:ascii="Arial" w:cs="Arial" w:eastAsia="Arial" w:hAnsi="Arial"/>
          <w:sz w:val="17"/>
          <w:szCs w:val="17"/>
          <w:color w:val="auto"/>
        </w:rPr>
        <w:t>In 2015, XBiotech undertook an effort to isolate and characterize anti-Ebola antibodies from an individual who had survived and fully recovered from a life-threatening infection with the Ebola virus. The discovery program was thus focused in this case on the antibody repertoire from a single individual who had developed a life-saving immune response against the virus. Using its proprietary approach, the Company isolated the genetic information encoding individual anti-Ebola antibodies from this individual that were further used to produce small quantities of antibodies for research purposes. Later in 2015, the Company established a research and development agreement with the United States Army Medical Research Institute for Infectious Diseases (USAMRIID) to aid in the evaluation of the effectiveness of the antibodies to block Ebola infections. The USAMRIID later reported that 8 out of 10 of the antibodies that it had been provided were effective at neutralizing a deadly strain of the Ebola virus. The Ebola outbreak appeared to subside in 2016 and the project by XBiotech was not advanced further. With the new outbreak in 2018, the Company sees the humanitarian need for an effective therapy to treat Ebola infections. During this quarter, the Company has begun adapting its manufacturing process for the anti-Ebola virus to prepare for limited production. The Company expects to be able to produce significant quantities of a candidate Ebola therapeutic product later this year. The Company will continue to seek to avail its therapeutic Ebola antibodies to areas where Ebola outbreaks occur.</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During the past quarter XBiotech has all but completed consolidation of its operations in its new headquarters facility in Austin, Texas. The Company previously occupied three building locations totaling almost 90,000 square feet of space. Operations will now be exclusively housed in a custom-built 33,000 square foot facility that includes a new large scale manufacturing operation, R&amp;D laboratories and administrative space. The move has enabled significant reduction in operating costs while maintaining all R&amp;D and operational capabilities in an improved GMP environment. The new facility is built on a 48 acre property, which is wholly owned by the Company. XBiotech remains 100% debt-free, further reducing go-forward fixed operating costs.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Risks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continues to be subject to a number of risks common to companies in similar stages of development. Principal among these risks are the uncertainties of technological innovations, dependence on key individuals, development of the same or similar technological innovations by the Company’s competitors and protection of proprietary technology. The Company’s ability to fund its planned clinical operations, including completion of its planned clinical trials, is expected to depend on the amount and timing of cash receipts from future collaboration or product sales and/or financing transactions. The Company believes that its cash and cash equivalents of $24.8 million at June 30, 2018 will enable the Company to achieve some key inflection points, including advanced clinical studies in certain indication(s), as well as on-going R&amp;D efforts for the Company’s pre-clinical pipeline. Based on our research and development plans and our timing expectations related to the progress of our programs, we expect that our cash and cash equivalents as of June 30, 2018 will enable us to fund our operating expenses and capital expenditure requirements through 2019. We have based this estimate on assumptions that may prove to be wrong, and we could utilize our available capital resources sooner than we currently expect.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860" w:firstLine="648"/>
        <w:spacing w:after="0" w:line="308" w:lineRule="auto"/>
        <w:rPr>
          <w:sz w:val="20"/>
          <w:szCs w:val="20"/>
          <w:color w:val="auto"/>
        </w:rPr>
      </w:pPr>
      <w:r>
        <w:rPr>
          <w:rFonts w:ascii="Arial" w:cs="Arial" w:eastAsia="Arial" w:hAnsi="Arial"/>
          <w:sz w:val="17"/>
          <w:szCs w:val="17"/>
          <w:color w:val="auto"/>
        </w:rPr>
        <w:t>To date, we have not generated any revenue. Our ability to generate revenue and become profitable depends on our ability to successfully commercialize our lead product candidate, bermekimab, or any other product candidate we may advance in the future.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Research and development expense consists of expenses incurred in connection with identifying and developing our drug candidates. These expenses consist primarily of salaries and related expenses, stock-based compensation, the purchase of equipment, laboratory and manufacturing supplies, facility costs, costs for preclinical and clinical research, development of quality control systems, quality assurance programs and manufacturing processes. We charge all research and development expenses to operations as incurred.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9" w:name="page20"/>
    <w:bookmarkEnd w:id="19"/>
    <w:p>
      <w:pPr>
        <w:ind w:right="80" w:firstLine="648"/>
        <w:spacing w:after="0" w:line="290" w:lineRule="auto"/>
        <w:rPr>
          <w:sz w:val="20"/>
          <w:szCs w:val="20"/>
          <w:color w:val="auto"/>
        </w:rPr>
      </w:pPr>
      <w:r>
        <w:rPr>
          <w:rFonts w:ascii="Arial" w:cs="Arial" w:eastAsia="Arial" w:hAnsi="Arial"/>
          <w:sz w:val="16"/>
          <w:szCs w:val="16"/>
          <w:color w:val="auto"/>
        </w:rPr>
        <w:t>Clinical development timelines, likelihood of success and total costs vary widely. We do not currently track our internal research and development costs or our personnel and related costs on an individual drug candidate basis. We use our research and development resources, including employees and our drug discovery technology, across multiple drug development programs. As a result, we cannot state precisely the costs incurred for each of our research and development programs or our clinical and preclinical drug candidates. From inception through June 30, 2018, we have recorded total research and development expenses, including share-based compensation, of $176.9 million. Our total research and development expenses for the three months and six months ended June 30, 2018 were $3.9 million and $6.9 million, respectively, compared to $7.4 million and $15.6 million for the three months and six months ended June 30, 2017, respectively. Share-based compensation accounted for $0.2 million and $0.3 million for the three months and six months ended June 30, 2018, respectively, compared to ($0.3) million and $21 thousand for the three months and six months ended June 30, 2017, respectively.</w:t>
      </w:r>
    </w:p>
    <w:p>
      <w:pPr>
        <w:spacing w:after="0" w:line="16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Research and development expenses, as a percentage of total operating expenses for the three months and six months ended June 30, 2018 were 70% and 71%, respectively, compared to 76% and 78% for the three months and six months ended June 30, 2017, respectively. The percentages, </w:t>
      </w:r>
      <w:r>
        <w:rPr>
          <w:rFonts w:ascii="Arial" w:cs="Arial" w:eastAsia="Arial" w:hAnsi="Arial"/>
          <w:sz w:val="18"/>
          <w:szCs w:val="18"/>
          <w:i w:val="1"/>
          <w:iCs w:val="1"/>
          <w:color w:val="auto"/>
        </w:rPr>
        <w:t>excluding</w:t>
      </w:r>
      <w:r>
        <w:rPr>
          <w:rFonts w:ascii="Arial" w:cs="Arial" w:eastAsia="Arial" w:hAnsi="Arial"/>
          <w:sz w:val="18"/>
          <w:szCs w:val="18"/>
          <w:color w:val="auto"/>
        </w:rPr>
        <w:t xml:space="preserve"> stock-based compensation, for the three months and six months ended June 30, 2018 were 76% and 74%, respectively, compared to 87% and 85% for the three months and six months ended June 30, 2017, respectively.</w:t>
      </w:r>
    </w:p>
    <w:p>
      <w:pPr>
        <w:spacing w:after="0" w:line="18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Our clinical development costs decreased with the completion and discontinuation of our phase III colorectal cancer clinical trials under EMA and FDA jurisdictions, respectively.</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clinical development costs may increase going forward with the recent launch of the two phase 2 dermatology studies which may potentially be followed by more advanced studies and as we evaluate our pipeline and plan potential new studies.</w:t>
      </w:r>
    </w:p>
    <w:p>
      <w:pPr>
        <w:spacing w:after="0" w:line="170"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Based on the results of our preclinical studies, we anticipate that we will select drug candidates and research projects for further development on an ongoing basis in response to their preclinical and clinical success and commercial potential. For research and development candidates in early stages of development, it is premature to estimate when material net cash inflows from these projects might occur.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General and administrative expense consists primarily of salaries and related expenses for personnel in administrative, finance, business development and human resource functions, as well as the legal costs of pursuing patent protection of our intellectual property and patent filing and maintenance expenses, stock–based compensation, and professional fees for legal services. Our total general and administration expenses for the three months and six months ended June 30, 2018 were $1.7 million and $2.8 million, respectively, compared to $2.3 million and $4.4 million for the three months and six months ended June 30, 2017, respectively. Share-based compensation accounted for $0.5 million and $0.5 million for the three months and six months ended June 30, 2018, respectively, compared to $1.2 million and $1.6 million for the three months and six months ended June 30, 2017, respectively.</w:t>
      </w:r>
    </w:p>
    <w:p>
      <w:pPr>
        <w:spacing w:after="0" w:line="16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General and administrative expenses, as a percentage of total operating expenses for the three months and six months ended June 30, 2018 were 30% and 29%, respectively, compared to 24% and 22% for the three months and six months ended June 30, 2017, respectively. The percentages, </w:t>
      </w:r>
      <w:r>
        <w:rPr>
          <w:rFonts w:ascii="Arial" w:cs="Arial" w:eastAsia="Arial" w:hAnsi="Arial"/>
          <w:sz w:val="18"/>
          <w:szCs w:val="18"/>
          <w:i w:val="1"/>
          <w:iCs w:val="1"/>
          <w:color w:val="auto"/>
        </w:rPr>
        <w:t>excluding</w:t>
      </w:r>
      <w:r>
        <w:rPr>
          <w:rFonts w:ascii="Arial" w:cs="Arial" w:eastAsia="Arial" w:hAnsi="Arial"/>
          <w:sz w:val="18"/>
          <w:szCs w:val="18"/>
          <w:color w:val="auto"/>
        </w:rPr>
        <w:t xml:space="preserve"> stock-based compensation, for the three months and six months ended June 30, 2018 were 24% and 26%, respectively, compared to 13% and 15% for the three months and six months ended June 30, 2017,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us to make judgments, estimates and assumptions in the preparation of our consolidated financial statements and accompanying notes. Actual results could differ from those estimates. We believe there have been no significant changes in our critical accounting policies as discussed in our Annual Report on Form 10-K for the year ended December 31, 2017.</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record any revenue during the three months or six months ended June 30,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Research and Development costs are summarized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3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Three Months Ended June 30,</w:t>
            </w:r>
          </w:p>
        </w:tc>
        <w:tc>
          <w:tcPr>
            <w:tcW w:w="320" w:type="dxa"/>
            <w:vAlign w:val="bottom"/>
          </w:tcPr>
          <w:p>
            <w:pPr>
              <w:spacing w:after="0"/>
              <w:rPr>
                <w:sz w:val="19"/>
                <w:szCs w:val="19"/>
                <w:color w:val="auto"/>
              </w:rPr>
            </w:pPr>
          </w:p>
        </w:tc>
        <w:tc>
          <w:tcPr>
            <w:tcW w:w="1560" w:type="dxa"/>
            <w:vAlign w:val="bottom"/>
          </w:tcPr>
          <w:p>
            <w:pPr>
              <w:jc w:val="right"/>
              <w:ind w:right="590"/>
              <w:spacing w:after="0"/>
              <w:rPr>
                <w:sz w:val="20"/>
                <w:szCs w:val="20"/>
                <w:color w:val="auto"/>
              </w:rPr>
            </w:pPr>
            <w:r>
              <w:rPr>
                <w:rFonts w:ascii="Arial" w:cs="Arial" w:eastAsia="Arial" w:hAnsi="Arial"/>
                <w:sz w:val="18"/>
                <w:szCs w:val="18"/>
                <w:b w:val="1"/>
                <w:bCs w:val="1"/>
                <w:color w:val="auto"/>
              </w:rPr>
              <w:t>Increase</w:t>
            </w:r>
          </w:p>
        </w:tc>
        <w:tc>
          <w:tcPr>
            <w:tcW w:w="1520" w:type="dxa"/>
            <w:vAlign w:val="bottom"/>
          </w:tcPr>
          <w:p>
            <w:pPr>
              <w:jc w:val="right"/>
              <w:ind w:right="29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3780" w:type="dxa"/>
            <w:vAlign w:val="bottom"/>
          </w:tcPr>
          <w:p>
            <w:pPr>
              <w:spacing w:after="0"/>
              <w:rPr>
                <w:sz w:val="20"/>
                <w:szCs w:val="20"/>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(Decrease)</w:t>
            </w:r>
          </w:p>
        </w:tc>
        <w:tc>
          <w:tcPr>
            <w:tcW w:w="1520" w:type="dxa"/>
            <w:vAlign w:val="bottom"/>
          </w:tcPr>
          <w:p>
            <w:pPr>
              <w:jc w:val="right"/>
              <w:ind w:right="33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Salaries and related expenses</w:t>
            </w:r>
          </w:p>
        </w:tc>
        <w:tc>
          <w:tcPr>
            <w:tcW w:w="9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1,020</w:t>
            </w:r>
          </w:p>
        </w:tc>
        <w:tc>
          <w:tcPr>
            <w:tcW w:w="4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1,770</w:t>
            </w: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(750)</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Laboratory and manufacturing supplies</w:t>
            </w: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424</w:t>
            </w:r>
          </w:p>
        </w:tc>
        <w:tc>
          <w:tcPr>
            <w:tcW w:w="4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780</w:t>
            </w:r>
          </w:p>
        </w:tc>
        <w:tc>
          <w:tcPr>
            <w:tcW w:w="320" w:type="dxa"/>
            <w:vAlign w:val="bottom"/>
          </w:tcPr>
          <w:p>
            <w:pPr>
              <w:spacing w:after="0"/>
              <w:rPr>
                <w:sz w:val="18"/>
                <w:szCs w:val="18"/>
                <w:color w:val="auto"/>
              </w:rPr>
            </w:pP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(356)</w:t>
            </w:r>
          </w:p>
        </w:tc>
        <w:tc>
          <w:tcPr>
            <w:tcW w:w="15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Clinical trials and sponsored research</w:t>
            </w:r>
          </w:p>
        </w:tc>
        <w:tc>
          <w:tcPr>
            <w:tcW w:w="9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586</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3,785</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(3,199)</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(273)</w:t>
            </w:r>
          </w:p>
        </w:tc>
        <w:tc>
          <w:tcPr>
            <w:tcW w:w="320" w:type="dxa"/>
            <w:vAlign w:val="bottom"/>
          </w:tcPr>
          <w:p>
            <w:pPr>
              <w:spacing w:after="0"/>
              <w:rPr>
                <w:sz w:val="18"/>
                <w:szCs w:val="18"/>
                <w:color w:val="auto"/>
              </w:rPr>
            </w:pPr>
          </w:p>
        </w:tc>
        <w:tc>
          <w:tcPr>
            <w:tcW w:w="1560" w:type="dxa"/>
            <w:vAlign w:val="bottom"/>
          </w:tcPr>
          <w:p>
            <w:pPr>
              <w:jc w:val="right"/>
              <w:ind w:right="250"/>
              <w:spacing w:after="0"/>
              <w:rPr>
                <w:sz w:val="20"/>
                <w:szCs w:val="20"/>
                <w:color w:val="auto"/>
              </w:rPr>
            </w:pPr>
            <w:r>
              <w:rPr>
                <w:rFonts w:ascii="Arial" w:cs="Arial" w:eastAsia="Arial" w:hAnsi="Arial"/>
                <w:sz w:val="18"/>
                <w:szCs w:val="18"/>
                <w:color w:val="auto"/>
              </w:rPr>
              <w:t>435</w:t>
            </w:r>
          </w:p>
        </w:tc>
        <w:tc>
          <w:tcPr>
            <w:tcW w:w="152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3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1,757</w:t>
            </w:r>
          </w:p>
        </w:tc>
        <w:tc>
          <w:tcPr>
            <w:tcW w:w="4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1,337</w:t>
            </w:r>
          </w:p>
        </w:tc>
        <w:tc>
          <w:tcPr>
            <w:tcW w:w="3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420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19"/>
                <w:szCs w:val="19"/>
                <w:color w:val="auto"/>
              </w:rPr>
            </w:pP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3,949</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7,399</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(3,450)</w:t>
            </w:r>
          </w:p>
        </w:tc>
        <w:tc>
          <w:tcPr>
            <w:tcW w:w="1520" w:type="dxa"/>
            <w:vAlign w:val="bottom"/>
          </w:tcPr>
          <w:p>
            <w:pPr>
              <w:jc w:val="right"/>
              <w:spacing w:after="0"/>
              <w:rPr>
                <w:sz w:val="20"/>
                <w:szCs w:val="20"/>
                <w:color w:val="auto"/>
              </w:rPr>
            </w:pPr>
            <w:r>
              <w:rPr>
                <w:rFonts w:ascii="Arial" w:cs="Arial" w:eastAsia="Arial" w:hAnsi="Arial"/>
                <w:sz w:val="18"/>
                <w:szCs w:val="18"/>
                <w:color w:val="auto"/>
              </w:rPr>
              <w:t>-47%</w:t>
            </w: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8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 June 30,</w:t>
            </w:r>
          </w:p>
        </w:tc>
        <w:tc>
          <w:tcPr>
            <w:tcW w:w="360" w:type="dxa"/>
            <w:vAlign w:val="bottom"/>
          </w:tcPr>
          <w:p>
            <w:pPr>
              <w:spacing w:after="0"/>
              <w:rPr>
                <w:sz w:val="19"/>
                <w:szCs w:val="19"/>
                <w:color w:val="auto"/>
              </w:rPr>
            </w:pPr>
          </w:p>
        </w:tc>
        <w:tc>
          <w:tcPr>
            <w:tcW w:w="1560" w:type="dxa"/>
            <w:vAlign w:val="bottom"/>
          </w:tcPr>
          <w:p>
            <w:pPr>
              <w:jc w:val="right"/>
              <w:ind w:right="590"/>
              <w:spacing w:after="0"/>
              <w:rPr>
                <w:sz w:val="20"/>
                <w:szCs w:val="20"/>
                <w:color w:val="auto"/>
              </w:rPr>
            </w:pPr>
            <w:r>
              <w:rPr>
                <w:rFonts w:ascii="Arial" w:cs="Arial" w:eastAsia="Arial" w:hAnsi="Arial"/>
                <w:sz w:val="18"/>
                <w:szCs w:val="18"/>
                <w:b w:val="1"/>
                <w:bCs w:val="1"/>
                <w:color w:val="auto"/>
              </w:rPr>
              <w:t>Increase</w:t>
            </w:r>
          </w:p>
        </w:tc>
        <w:tc>
          <w:tcPr>
            <w:tcW w:w="1520" w:type="dxa"/>
            <w:vAlign w:val="bottom"/>
          </w:tcPr>
          <w:p>
            <w:pPr>
              <w:jc w:val="right"/>
              <w:ind w:right="29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3780" w:type="dxa"/>
            <w:vAlign w:val="bottom"/>
          </w:tcPr>
          <w:p>
            <w:pPr>
              <w:spacing w:after="0"/>
              <w:rPr>
                <w:sz w:val="20"/>
                <w:szCs w:val="20"/>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(Decrease)</w:t>
            </w:r>
          </w:p>
        </w:tc>
        <w:tc>
          <w:tcPr>
            <w:tcW w:w="1520" w:type="dxa"/>
            <w:vAlign w:val="bottom"/>
          </w:tcPr>
          <w:p>
            <w:pPr>
              <w:jc w:val="right"/>
              <w:ind w:right="33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Salaries and related expenses</w:t>
            </w:r>
          </w:p>
        </w:tc>
        <w:tc>
          <w:tcPr>
            <w:tcW w:w="9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2,072</w:t>
            </w:r>
          </w:p>
        </w:tc>
        <w:tc>
          <w:tcPr>
            <w:tcW w:w="4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3,983</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(1,911)</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Laboratory and manufacturing supplies</w:t>
            </w: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637</w:t>
            </w:r>
          </w:p>
        </w:tc>
        <w:tc>
          <w:tcPr>
            <w:tcW w:w="4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2,012</w:t>
            </w:r>
          </w:p>
        </w:tc>
        <w:tc>
          <w:tcPr>
            <w:tcW w:w="360" w:type="dxa"/>
            <w:vAlign w:val="bottom"/>
          </w:tcPr>
          <w:p>
            <w:pPr>
              <w:spacing w:after="0"/>
              <w:rPr>
                <w:sz w:val="18"/>
                <w:szCs w:val="18"/>
                <w:color w:val="auto"/>
              </w:rPr>
            </w:pP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(1,375)</w:t>
            </w:r>
          </w:p>
        </w:tc>
        <w:tc>
          <w:tcPr>
            <w:tcW w:w="15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Clinical trials and sponsored research</w:t>
            </w:r>
          </w:p>
        </w:tc>
        <w:tc>
          <w:tcPr>
            <w:tcW w:w="9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594</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6,941</w:t>
            </w: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(6,347)</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4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18"/>
                <w:szCs w:val="18"/>
                <w:color w:val="auto"/>
              </w:rPr>
            </w:pPr>
          </w:p>
        </w:tc>
        <w:tc>
          <w:tcPr>
            <w:tcW w:w="1560" w:type="dxa"/>
            <w:vAlign w:val="bottom"/>
          </w:tcPr>
          <w:p>
            <w:pPr>
              <w:jc w:val="right"/>
              <w:ind w:right="250"/>
              <w:spacing w:after="0"/>
              <w:rPr>
                <w:sz w:val="20"/>
                <w:szCs w:val="20"/>
                <w:color w:val="auto"/>
              </w:rPr>
            </w:pPr>
            <w:r>
              <w:rPr>
                <w:rFonts w:ascii="Arial" w:cs="Arial" w:eastAsia="Arial" w:hAnsi="Arial"/>
                <w:sz w:val="18"/>
                <w:szCs w:val="18"/>
                <w:color w:val="auto"/>
              </w:rPr>
              <w:t>229</w:t>
            </w:r>
          </w:p>
        </w:tc>
        <w:tc>
          <w:tcPr>
            <w:tcW w:w="1520" w:type="dxa"/>
            <w:vAlign w:val="bottom"/>
          </w:tcPr>
          <w:p>
            <w:pPr>
              <w:jc w:val="right"/>
              <w:spacing w:after="0"/>
              <w:rPr>
                <w:sz w:val="20"/>
                <w:szCs w:val="20"/>
                <w:color w:val="auto"/>
              </w:rPr>
            </w:pPr>
            <w:r>
              <w:rPr>
                <w:rFonts w:ascii="Arial" w:cs="Arial" w:eastAsia="Arial" w:hAnsi="Arial"/>
                <w:sz w:val="18"/>
                <w:szCs w:val="18"/>
                <w:color w:val="auto"/>
              </w:rPr>
              <w:t>1090%</w:t>
            </w:r>
          </w:p>
        </w:tc>
      </w:tr>
      <w:tr>
        <w:trPr>
          <w:trHeight w:val="23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3,388</w:t>
            </w: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2,630</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758</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19"/>
                <w:szCs w:val="19"/>
                <w:color w:val="auto"/>
              </w:rPr>
            </w:pP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6,941</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15,587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(8,646)</w:t>
            </w:r>
          </w:p>
        </w:tc>
        <w:tc>
          <w:tcPr>
            <w:tcW w:w="1520" w:type="dxa"/>
            <w:vAlign w:val="bottom"/>
          </w:tcPr>
          <w:p>
            <w:pPr>
              <w:jc w:val="right"/>
              <w:spacing w:after="0"/>
              <w:rPr>
                <w:sz w:val="20"/>
                <w:szCs w:val="20"/>
                <w:color w:val="auto"/>
              </w:rPr>
            </w:pPr>
            <w:r>
              <w:rPr>
                <w:rFonts w:ascii="Arial" w:cs="Arial" w:eastAsia="Arial" w:hAnsi="Arial"/>
                <w:sz w:val="18"/>
                <w:szCs w:val="18"/>
                <w:color w:val="auto"/>
              </w:rPr>
              <w:t>-55%</w:t>
            </w:r>
          </w:p>
        </w:tc>
      </w:tr>
    </w:tbl>
    <w:p>
      <w:pPr>
        <w:spacing w:after="0" w:line="187"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We do not currently track our internal research and development costs or our personnel and related costs on an individual drug candidate basis. We use our research and development resources, including employees and our drug discovery technology, across multiple drug development programs. As a result, we cannot state precisely the costs incurred for each of our research and development programs or our clinical and preclinical drug candidates.</w:t>
      </w:r>
    </w:p>
    <w:p>
      <w:pPr>
        <w:spacing w:after="0" w:line="14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Research and development expenses decreased by 47% to $3.9 million for the three months ended June 30, 2018 compared to $7.4 million for the three months ended June 30, 2017. Research and development expenses decreased by 55% to $6.9 million for the six months ended June 30, 2018 compared to $15.6 million for the six months ended June 30, 2017.</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three month decrease in research and development expenses was mainly due to a $3.2 million decrease in clinical trials and sponsored research expenses, due to the completion of a global trial in 2017 and a new study being initiated in 2018 Q2. In addition, there was a decrease in salary and related expenses due to the reduction of our research and development workforce from 55 to 40.</w:t>
      </w:r>
    </w:p>
    <w:p>
      <w:pPr>
        <w:spacing w:after="0" w:line="181"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Compared to the six months ended June 30, 2017, the research and development expense decrease in the six months ended June 30, 2018 was primarily caused by the decrease in clinical trials and sponsored research expense. Labor costs also decreased due to the reduced size of the research and development workforce. In addition, the decrease in laboratory and manufacturing supplies expense occurred due to a reduction in clinical trial drug manufacturing.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General and administrative costs are summarized as follows (in thousands):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8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Pr>
          <w:p>
            <w:pPr>
              <w:spacing w:after="0"/>
              <w:rPr>
                <w:sz w:val="19"/>
                <w:szCs w:val="19"/>
                <w:color w:val="auto"/>
              </w:rPr>
            </w:pPr>
          </w:p>
        </w:tc>
        <w:tc>
          <w:tcPr>
            <w:tcW w:w="1560" w:type="dxa"/>
            <w:vAlign w:val="bottom"/>
          </w:tcPr>
          <w:p>
            <w:pPr>
              <w:jc w:val="right"/>
              <w:ind w:right="590"/>
              <w:spacing w:after="0"/>
              <w:rPr>
                <w:sz w:val="20"/>
                <w:szCs w:val="20"/>
                <w:color w:val="auto"/>
              </w:rPr>
            </w:pPr>
            <w:r>
              <w:rPr>
                <w:rFonts w:ascii="Arial" w:cs="Arial" w:eastAsia="Arial" w:hAnsi="Arial"/>
                <w:sz w:val="18"/>
                <w:szCs w:val="18"/>
                <w:b w:val="1"/>
                <w:bCs w:val="1"/>
                <w:color w:val="auto"/>
              </w:rPr>
              <w:t>Increase</w:t>
            </w:r>
          </w:p>
        </w:tc>
        <w:tc>
          <w:tcPr>
            <w:tcW w:w="1520" w:type="dxa"/>
            <w:vAlign w:val="bottom"/>
          </w:tcPr>
          <w:p>
            <w:pPr>
              <w:jc w:val="right"/>
              <w:ind w:right="29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3420" w:type="dxa"/>
            <w:vAlign w:val="bottom"/>
          </w:tcPr>
          <w:p>
            <w:pPr>
              <w:spacing w:after="0"/>
              <w:rPr>
                <w:sz w:val="20"/>
                <w:szCs w:val="20"/>
                <w:color w:val="auto"/>
              </w:rPr>
            </w:pPr>
          </w:p>
        </w:tc>
        <w:tc>
          <w:tcPr>
            <w:tcW w:w="23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(Decrease)</w:t>
            </w:r>
          </w:p>
        </w:tc>
        <w:tc>
          <w:tcPr>
            <w:tcW w:w="1520" w:type="dxa"/>
            <w:vAlign w:val="bottom"/>
          </w:tcPr>
          <w:p>
            <w:pPr>
              <w:jc w:val="right"/>
              <w:ind w:right="33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Salaries and related expenses</w:t>
            </w:r>
          </w:p>
        </w:tc>
        <w:tc>
          <w:tcPr>
            <w:tcW w:w="1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384</w:t>
            </w:r>
          </w:p>
        </w:tc>
        <w:tc>
          <w:tcPr>
            <w:tcW w:w="4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87</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Patent filing expense</w:t>
            </w: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220</w:t>
            </w:r>
          </w:p>
        </w:tc>
        <w:tc>
          <w:tcPr>
            <w:tcW w:w="4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360" w:type="dxa"/>
            <w:vAlign w:val="bottom"/>
          </w:tcPr>
          <w:p>
            <w:pPr>
              <w:spacing w:after="0"/>
              <w:rPr>
                <w:sz w:val="18"/>
                <w:szCs w:val="18"/>
                <w:color w:val="auto"/>
              </w:rPr>
            </w:pPr>
          </w:p>
        </w:tc>
        <w:tc>
          <w:tcPr>
            <w:tcW w:w="1560" w:type="dxa"/>
            <w:vAlign w:val="bottom"/>
          </w:tcPr>
          <w:p>
            <w:pPr>
              <w:jc w:val="right"/>
              <w:ind w:right="250"/>
              <w:spacing w:after="0"/>
              <w:rPr>
                <w:sz w:val="20"/>
                <w:szCs w:val="20"/>
                <w:color w:val="auto"/>
              </w:rPr>
            </w:pPr>
            <w:r>
              <w:rPr>
                <w:rFonts w:ascii="Arial" w:cs="Arial" w:eastAsia="Arial" w:hAnsi="Arial"/>
                <w:sz w:val="18"/>
                <w:szCs w:val="18"/>
                <w:color w:val="auto"/>
              </w:rPr>
              <w:t>49</w:t>
            </w:r>
          </w:p>
        </w:tc>
        <w:tc>
          <w:tcPr>
            <w:tcW w:w="1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475</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1,171</w:t>
            </w: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(696)</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Professional fees</w:t>
            </w: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4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18"/>
                <w:szCs w:val="18"/>
                <w:color w:val="auto"/>
              </w:rPr>
            </w:pP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(176)</w:t>
            </w:r>
          </w:p>
        </w:tc>
        <w:tc>
          <w:tcPr>
            <w:tcW w:w="15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8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457</w:t>
            </w: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338</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119</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4"/>
        </w:trPr>
        <w:tc>
          <w:tcPr>
            <w:tcW w:w="3420" w:type="dxa"/>
            <w:vAlign w:val="bottom"/>
          </w:tcPr>
          <w:p>
            <w:pPr>
              <w:spacing w:after="0"/>
              <w:rPr>
                <w:sz w:val="20"/>
                <w:szCs w:val="20"/>
                <w:color w:val="auto"/>
              </w:rPr>
            </w:pPr>
            <w:r>
              <w:rPr>
                <w:rFonts w:ascii="Arial" w:cs="Arial" w:eastAsia="Arial" w:hAnsi="Arial"/>
                <w:sz w:val="18"/>
                <w:szCs w:val="18"/>
                <w:color w:val="auto"/>
              </w:rPr>
              <w:t>Total</w:t>
            </w:r>
          </w:p>
        </w:tc>
        <w:tc>
          <w:tcPr>
            <w:tcW w:w="1280" w:type="dxa"/>
            <w:vAlign w:val="bottom"/>
          </w:tcPr>
          <w:p>
            <w:pPr>
              <w:spacing w:after="0"/>
              <w:rPr>
                <w:sz w:val="19"/>
                <w:szCs w:val="19"/>
                <w:color w:val="auto"/>
              </w:rPr>
            </w:pP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1,672</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2,289</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(617)</w:t>
            </w:r>
          </w:p>
        </w:tc>
        <w:tc>
          <w:tcPr>
            <w:tcW w:w="152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74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tcPr>
          <w:p>
            <w:pPr>
              <w:jc w:val="right"/>
              <w:ind w:right="590"/>
              <w:spacing w:after="0"/>
              <w:rPr>
                <w:sz w:val="20"/>
                <w:szCs w:val="20"/>
                <w:color w:val="auto"/>
              </w:rPr>
            </w:pPr>
            <w:r>
              <w:rPr>
                <w:rFonts w:ascii="Arial" w:cs="Arial" w:eastAsia="Arial" w:hAnsi="Arial"/>
                <w:sz w:val="18"/>
                <w:szCs w:val="18"/>
                <w:b w:val="1"/>
                <w:bCs w:val="1"/>
                <w:color w:val="auto"/>
              </w:rPr>
              <w:t>Increase</w:t>
            </w:r>
          </w:p>
        </w:tc>
        <w:tc>
          <w:tcPr>
            <w:tcW w:w="1520" w:type="dxa"/>
            <w:vAlign w:val="bottom"/>
          </w:tcPr>
          <w:p>
            <w:pPr>
              <w:jc w:val="right"/>
              <w:ind w:right="29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3420" w:type="dxa"/>
            <w:vAlign w:val="bottom"/>
          </w:tcPr>
          <w:p>
            <w:pPr>
              <w:spacing w:after="0"/>
              <w:rPr>
                <w:sz w:val="20"/>
                <w:szCs w:val="20"/>
                <w:color w:val="auto"/>
              </w:rPr>
            </w:pPr>
          </w:p>
        </w:tc>
        <w:tc>
          <w:tcPr>
            <w:tcW w:w="23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(Decrease)</w:t>
            </w:r>
          </w:p>
        </w:tc>
        <w:tc>
          <w:tcPr>
            <w:tcW w:w="1520" w:type="dxa"/>
            <w:vAlign w:val="bottom"/>
          </w:tcPr>
          <w:p>
            <w:pPr>
              <w:jc w:val="right"/>
              <w:ind w:right="33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Salaries and related expenses</w:t>
            </w:r>
          </w:p>
        </w:tc>
        <w:tc>
          <w:tcPr>
            <w:tcW w:w="1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707</w:t>
            </w:r>
          </w:p>
        </w:tc>
        <w:tc>
          <w:tcPr>
            <w:tcW w:w="114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765</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(58)</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Patent filing expense</w:t>
            </w: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114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357</w:t>
            </w:r>
          </w:p>
        </w:tc>
        <w:tc>
          <w:tcPr>
            <w:tcW w:w="360" w:type="dxa"/>
            <w:vAlign w:val="bottom"/>
          </w:tcPr>
          <w:p>
            <w:pPr>
              <w:spacing w:after="0"/>
              <w:rPr>
                <w:sz w:val="18"/>
                <w:szCs w:val="18"/>
                <w:color w:val="auto"/>
              </w:rPr>
            </w:pPr>
          </w:p>
        </w:tc>
        <w:tc>
          <w:tcPr>
            <w:tcW w:w="1560" w:type="dxa"/>
            <w:vAlign w:val="bottom"/>
          </w:tcPr>
          <w:p>
            <w:pPr>
              <w:jc w:val="right"/>
              <w:ind w:right="250"/>
              <w:spacing w:after="0"/>
              <w:rPr>
                <w:sz w:val="20"/>
                <w:szCs w:val="20"/>
                <w:color w:val="auto"/>
              </w:rPr>
            </w:pPr>
            <w:r>
              <w:rPr>
                <w:rFonts w:ascii="Arial" w:cs="Arial" w:eastAsia="Arial" w:hAnsi="Arial"/>
                <w:sz w:val="18"/>
                <w:szCs w:val="18"/>
                <w:color w:val="auto"/>
              </w:rPr>
              <w:t>44</w:t>
            </w:r>
          </w:p>
        </w:tc>
        <w:tc>
          <w:tcPr>
            <w:tcW w:w="1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497</w:t>
            </w: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1,601</w:t>
            </w: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(1,104)</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Professional fees</w:t>
            </w: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343</w:t>
            </w:r>
          </w:p>
        </w:tc>
        <w:tc>
          <w:tcPr>
            <w:tcW w:w="114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728</w:t>
            </w:r>
          </w:p>
        </w:tc>
        <w:tc>
          <w:tcPr>
            <w:tcW w:w="360" w:type="dxa"/>
            <w:vAlign w:val="bottom"/>
          </w:tcPr>
          <w:p>
            <w:pPr>
              <w:spacing w:after="0"/>
              <w:rPr>
                <w:sz w:val="18"/>
                <w:szCs w:val="18"/>
                <w:color w:val="auto"/>
              </w:rPr>
            </w:pP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(385)</w:t>
            </w:r>
          </w:p>
        </w:tc>
        <w:tc>
          <w:tcPr>
            <w:tcW w:w="15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8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881</w:t>
            </w:r>
          </w:p>
        </w:tc>
        <w:tc>
          <w:tcPr>
            <w:tcW w:w="1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921</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4"/>
        </w:trPr>
        <w:tc>
          <w:tcPr>
            <w:tcW w:w="3420" w:type="dxa"/>
            <w:vAlign w:val="bottom"/>
          </w:tcPr>
          <w:p>
            <w:pPr>
              <w:spacing w:after="0"/>
              <w:rPr>
                <w:sz w:val="20"/>
                <w:szCs w:val="20"/>
                <w:color w:val="auto"/>
              </w:rPr>
            </w:pPr>
            <w:r>
              <w:rPr>
                <w:rFonts w:ascii="Arial" w:cs="Arial" w:eastAsia="Arial" w:hAnsi="Arial"/>
                <w:sz w:val="18"/>
                <w:szCs w:val="18"/>
                <w:color w:val="auto"/>
              </w:rPr>
              <w:t>Total</w:t>
            </w:r>
          </w:p>
        </w:tc>
        <w:tc>
          <w:tcPr>
            <w:tcW w:w="1280" w:type="dxa"/>
            <w:vAlign w:val="bottom"/>
          </w:tcPr>
          <w:p>
            <w:pPr>
              <w:spacing w:after="0"/>
              <w:rPr>
                <w:sz w:val="19"/>
                <w:szCs w:val="19"/>
                <w:color w:val="auto"/>
              </w:rPr>
            </w:pP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2,829</w:t>
            </w:r>
          </w:p>
        </w:tc>
        <w:tc>
          <w:tcPr>
            <w:tcW w:w="11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4,372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(1,543)</w:t>
            </w:r>
          </w:p>
        </w:tc>
        <w:tc>
          <w:tcPr>
            <w:tcW w:w="152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18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General and administrative expenses decreased by 27% to $1.7 million for the three months ended June 30, 2018 compared to $2.3 million for the three months ended June 30, 2017. General and administrative expenses decreased by 35% to $2.8 million for the six months ended June 30, 2018 compared to $4.4 million for the six months ended June 30, 2017.</w:t>
      </w:r>
    </w:p>
    <w:p>
      <w:pPr>
        <w:spacing w:after="0" w:line="181"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The three months decrease was primarily related to a $0.7 million decrease in stock-based compensation. Stock compensation expense was high in the second quarter of 2017 compared to the same quarter in 2018 due to the repurchase of stock options from a certain individual. Professional fees decreased due to the reduction of corporate legal fees. The increase in labor costs was due to the bonus to the Chief Executive Officer.</w:t>
      </w:r>
    </w:p>
    <w:p>
      <w:pPr>
        <w:spacing w:after="0" w:line="16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Compared to the six months ended June 30, 2017, the general and administrative expense decrease in the six months ended June 30, 2018 was primarily caused by the decrease of professional fees due to the reduction of corporate legal and public relations activities. Stock-based compensation decreased largely due to the $0.7 million repurchase of stock options from a certain individual in the second quarter of 2017. The remaining decrease in stock-based compensation was primarily related to $0.4 million of forfeitures of terminated employees’ stock options in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(loss)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other income (loss)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90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4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Six Months Ended June 30,</w:t>
            </w:r>
          </w:p>
        </w:tc>
      </w:tr>
      <w:tr>
        <w:trPr>
          <w:trHeight w:val="234"/>
        </w:trPr>
        <w:tc>
          <w:tcPr>
            <w:tcW w:w="3400" w:type="dxa"/>
            <w:vAlign w:val="bottom"/>
          </w:tcPr>
          <w:p>
            <w:pPr>
              <w:spacing w:after="0"/>
              <w:rPr>
                <w:sz w:val="20"/>
                <w:szCs w:val="20"/>
                <w:color w:val="auto"/>
              </w:rPr>
            </w:pPr>
          </w:p>
        </w:tc>
        <w:tc>
          <w:tcPr>
            <w:tcW w:w="23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0"/>
                <w:szCs w:val="20"/>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107</w:t>
            </w:r>
          </w:p>
        </w:tc>
        <w:tc>
          <w:tcPr>
            <w:tcW w:w="12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170</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r>
      <w:tr>
        <w:trPr>
          <w:trHeight w:val="230"/>
        </w:trPr>
        <w:tc>
          <w:tcPr>
            <w:tcW w:w="3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 exchange gain (loss)</w:t>
            </w:r>
          </w:p>
        </w:tc>
        <w:tc>
          <w:tcPr>
            <w:tcW w:w="13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(393)</w:t>
            </w:r>
          </w:p>
        </w:tc>
        <w:tc>
          <w:tcPr>
            <w:tcW w:w="1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441</w:t>
            </w: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w:t>
            </w:r>
          </w:p>
        </w:tc>
      </w:tr>
      <w:tr>
        <w:trPr>
          <w:trHeight w:val="223"/>
        </w:trPr>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c>
          <w:tcPr>
            <w:tcW w:w="124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555</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263</w:t>
            </w:r>
          </w:p>
        </w:tc>
      </w:tr>
      <w:tr>
        <w:trPr>
          <w:trHeight w:val="20"/>
        </w:trPr>
        <w:tc>
          <w:tcPr>
            <w:tcW w:w="3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The interest income for the three months and six months ended June 30, 2018 is mainly from the interest generated from the Company’s Canadian bank account. Foreign exchange gain and loss was mainly due to the fluctuation between US dollar and Euro in the three months and six months ended June 30, 2018 compared to the three months and six months ended June 30, 2017.</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Our cash requirements could change materially as a result of the progress of our research and development and clinical programs, licensing activities, acquisitions, divestitures or other corporate developments.</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Since our inception on March 22, 2005 through June 30, 2018, we have funded our operations principally through public offerings and the private placement of equity securities, which have provided aggregate cash proceeds of approximately $257.4 million. The following table summarizes our sources and uses of cash (in thousands):</w:t>
      </w:r>
    </w:p>
    <w:p>
      <w:pPr>
        <w:sectPr>
          <w:pgSz w:w="11900" w:h="16838" w:orient="portrait"/>
          <w:cols w:equalWidth="0" w:num="1">
            <w:col w:w="11420"/>
          </w:cols>
          <w:pgMar w:left="240" w:top="688" w:right="239" w:bottom="1440" w:gutter="0" w:footer="0" w:header="0"/>
        </w:sect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provided by: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Investing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right="3040"/>
        <w:spacing w:after="0" w:line="276" w:lineRule="auto"/>
        <w:rPr>
          <w:sz w:val="20"/>
          <w:szCs w:val="20"/>
          <w:color w:val="auto"/>
        </w:rPr>
      </w:pPr>
      <w:r>
        <w:rPr>
          <w:rFonts w:ascii="Arial" w:cs="Arial" w:eastAsia="Arial" w:hAnsi="Arial"/>
          <w:sz w:val="18"/>
          <w:szCs w:val="18"/>
          <w:color w:val="auto"/>
        </w:rPr>
        <w:t>Effect of foreign exchange rate on cash and cash equivalents 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2466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6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Six Months Ended June 30,</w:t>
            </w:r>
          </w:p>
        </w:tc>
      </w:tr>
      <w:tr>
        <w:trPr>
          <w:trHeight w:val="234"/>
        </w:trPr>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195"/>
        </w:trPr>
        <w:tc>
          <w:tcPr>
            <w:tcW w:w="20" w:type="dxa"/>
            <w:vAlign w:val="bottom"/>
          </w:tcPr>
          <w:p>
            <w:pPr>
              <w:spacing w:after="0"/>
              <w:rPr>
                <w:sz w:val="16"/>
                <w:szCs w:val="16"/>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line="195" w:lineRule="exact"/>
              <w:rPr>
                <w:sz w:val="20"/>
                <w:szCs w:val="20"/>
                <w:color w:val="auto"/>
              </w:rPr>
            </w:pPr>
            <w:r>
              <w:rPr>
                <w:rFonts w:ascii="Arial" w:cs="Arial" w:eastAsia="Arial" w:hAnsi="Arial"/>
                <w:sz w:val="18"/>
                <w:szCs w:val="18"/>
                <w:color w:val="auto"/>
              </w:rPr>
              <w:t>(7,426)</w:t>
            </w:r>
          </w:p>
        </w:tc>
        <w:tc>
          <w:tcPr>
            <w:tcW w:w="42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195" w:lineRule="exact"/>
              <w:rPr>
                <w:sz w:val="20"/>
                <w:szCs w:val="20"/>
                <w:color w:val="auto"/>
              </w:rPr>
            </w:pPr>
            <w:r>
              <w:rPr>
                <w:rFonts w:ascii="Arial" w:cs="Arial" w:eastAsia="Arial" w:hAnsi="Arial"/>
                <w:sz w:val="18"/>
                <w:szCs w:val="18"/>
                <w:color w:val="auto"/>
              </w:rPr>
              <w:t>(20,376)</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w:t>
            </w: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(890)</w:t>
            </w: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201</w:t>
            </w:r>
          </w:p>
        </w:tc>
        <w:tc>
          <w:tcPr>
            <w:tcW w:w="42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33,274</w:t>
            </w:r>
          </w:p>
        </w:tc>
      </w:tr>
      <w:tr>
        <w:trPr>
          <w:trHeight w:val="230"/>
        </w:trPr>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388</w:t>
            </w:r>
          </w:p>
        </w:tc>
        <w:tc>
          <w:tcPr>
            <w:tcW w:w="4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r>
      <w:tr>
        <w:trPr>
          <w:trHeight w:val="223"/>
        </w:trPr>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(6,919)</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11,625</w:t>
            </w: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00" w:space="720"/>
            <w:col w:w="3300"/>
          </w:cols>
          <w:pgMar w:left="240" w:top="688" w:right="239" w:bottom="1440" w:gutter="0" w:footer="0" w:header="0"/>
          <w:type w:val="continuous"/>
        </w:sectPr>
      </w:pPr>
    </w:p>
    <w:p>
      <w:pPr>
        <w:spacing w:after="0" w:line="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During the six months ended June 30, 2018 and 2017, our operating activities used net cash of $7.4 million and $20.4 million, respectively. The use of net cash in each of these periods primarily resulted from our net losses. The decrease in net loss from operations for the six months ended June 30, 2018 as compared to the six months ended June 30, 2017 was mainly due to the decrease in clinical trials and sponsored research expenses and salaries and related expenses.</w:t>
      </w:r>
    </w:p>
    <w:p>
      <w:pPr>
        <w:spacing w:after="0" w:line="18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During the six months ended June 30, 2018 and 2017, our investing activities used net cash of $82 thousand and $890 thousand, respectively. The use of cash was for the purchase of new research and development equipment.</w:t>
      </w:r>
    </w:p>
    <w:p>
      <w:pPr>
        <w:spacing w:after="0" w:line="170"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During the six months ended June 30, 2018 and 2017, our financing activities provided net cash proceeds of $0.2 million and $33.3 million, respectively. During the six months ended June 30, 2018, employees exercised stock options to purchase a total of 80,500 shares of our common stock for approximately $0.2 million in net proceeds. During the six months ended June 30, 2017, we entered into subscription agreements with accredited investors, and sold 2.4 million common shares at $13 per share for approximately $31.6 million in net proceeds. Also, we sold 87 thousand shares under a Common Stock Sales Agreement with H.C. Wainwright &amp; Co. LLC for net proceeds of approximately $1.0 million. Employees exercised stock options to purchase a total of 271 thousand shares of common stock for a total of approximately $0.7 million in net proceeds.</w:t>
      </w:r>
    </w:p>
    <w:p>
      <w:pPr>
        <w:spacing w:after="0" w:line="16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We expect to continue to incur substantial operating losses in the future. We will not receive any product revenue until a drug candidate has been approved by the EMA or similar regulatory agencies in other countries and successfully commercialized. As of June 30, 2018, our principal sources of liquidity were our cash and cash equivalents, which totaled approximately $24.8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On January 12, 2008, we entered a lease agreement to lease our office space in Austin, Texas. On September 15, 2010, we entered into a second lease agreement to lease additional space in Austin, Texas. On March 20, 2013, we extended the lease for an additional 21 months on the same terms and rental rates as the current lease. On February 28, 2015, we extended the lease for another 4 years. The future minimum lease payments are as follows as of June 30, 2018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Less than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4"/>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Contractual Obligations</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1 Year</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1 - 3 Years</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6"/>
              </w:rPr>
              <w:t>More than 3 years</w:t>
            </w:r>
          </w:p>
        </w:tc>
      </w:tr>
      <w:tr>
        <w:trPr>
          <w:trHeight w:val="223"/>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Operating facility leases</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315</w:t>
            </w:r>
          </w:p>
        </w:tc>
        <w:tc>
          <w:tcPr>
            <w:tcW w:w="1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w:t>
            </w: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315</w:t>
            </w:r>
          </w:p>
        </w:tc>
        <w:tc>
          <w:tcPr>
            <w:tcW w:w="380" w:type="dxa"/>
            <w:vAlign w:val="bottom"/>
            <w:tcBorders>
              <w:bottom w:val="single" w:sz="8" w:color="auto"/>
            </w:tcBorders>
            <w:gridSpan w:val="2"/>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315</w:t>
            </w:r>
          </w:p>
        </w:tc>
        <w:tc>
          <w:tcPr>
            <w:tcW w:w="360" w:type="dxa"/>
            <w:vAlign w:val="bottom"/>
            <w:tcBorders>
              <w:bottom w:val="single" w:sz="8" w:color="auto"/>
            </w:tcBorders>
            <w:gridSpan w:val="2"/>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629"/>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41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68"/>
        </w:trPr>
        <w:tc>
          <w:tcPr>
            <w:tcW w:w="45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26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3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3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50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688" w:right="239" w:bottom="1440" w:gutter="0" w:footer="0" w:header="0"/>
          <w:type w:val="continuous"/>
        </w:sectPr>
      </w:pPr>
    </w:p>
    <w:bookmarkStart w:id="23" w:name="page24"/>
    <w:bookmarkEnd w:id="23"/>
    <w:p>
      <w:pPr>
        <w:ind w:right="260" w:firstLine="648"/>
        <w:spacing w:after="0" w:line="277" w:lineRule="auto"/>
        <w:rPr>
          <w:sz w:val="20"/>
          <w:szCs w:val="20"/>
          <w:color w:val="auto"/>
        </w:rPr>
      </w:pPr>
      <w:r>
        <w:rPr>
          <w:rFonts w:ascii="Arial" w:cs="Arial" w:eastAsia="Arial" w:hAnsi="Arial"/>
          <w:sz w:val="18"/>
          <w:szCs w:val="18"/>
          <w:color w:val="auto"/>
        </w:rPr>
        <w:t>Rent expense for the three months and six months ended June 30, 2018 were $193 thousand and $393 thousand, respectively, compared to $186 thousand and $372 thousand for the three months and six months ended June 30, 2017,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Since inception, we have not engaged in any off-balance sheet activities, including the use of structured finance, special purpose entities or variable interest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of Market Risks</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Company is not currently exposed to material market risk arising from financial instruments, changes in interest rates or commodity prices, or fluctuations in foreign currencies. The Company has no need to hedge against any of the foregoing risks and therefore currently engages in no hedging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our Disclosure Controls and Procedures</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As of the end of the period covered by this Quarterly Report on Form 10-Q, an evaluation was carried out by the Company’s management, with the participation of the Chief Executive Officer and Principal Financial Officer, of the effectiveness of the Company’s disclosure controls and procedures, as defined in Rule 13a-15(e) and 15d-15(e) under the Securities Exchange Act of 1934. Based on such evaluation, the Chief Executive Officer and Principal Financial Officer concluded that the Company’s disclosure controls and procedures are effective to ensure that information required to be disclosed in the reports the Company files or furnishes under the Securities Exchange Act of 1934 is recorded, processed, summarized and reported within the time periods specified in the SEC’s rules and regulations, and are operating in an effective manner.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12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second quarter of the year ended December 31, 2018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80"/>
          </w:cols>
          <w:pgMar w:left="240" w:top="692" w:right="379" w:bottom="1440" w:gutter="0" w:footer="0" w:header="0"/>
        </w:sectPr>
      </w:pPr>
    </w:p>
    <w:bookmarkStart w:id="24" w:name="page25"/>
    <w:bookmarkEnd w:id="24"/>
    <w:p>
      <w:pPr>
        <w:ind w:left="454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December 1, 2015, a purported securities class action complaint captioned Yogina Rezko v. XBiotech Inc., John Simard, Queena Han and WR Hambrecht &amp; Co., LLC was filed against us, certain of our officers and directors and the underwriter for our initial public offering in the Superior Court for the State of California, Los Angeles County. On December 2, 2015, a purported securities class action complaint captioned Linh Tran v. XBiotech Inc., John Simard and Queena Han was filed against us and certain of our officers and directors in U.S. District Court for the Western District of Texas. The lawsuits are based on substantially similar factual allegations and purport to be class actions brought on behalf of purchasers of the Company's securities during the period from April 15, 2015 through November 23, 2015. The complaint filed in California state court alleges that the defendants violated the Securities Act of 1933, as amended (the "Securities Act"), and the complaint filed in federal court alleges that the defendants violated the Securities Exchange Act of 1934, as amended (the "Exchange Act"), in each case by making materially false and misleading statements concerning the Company's Phase III clinical trial conducted in Europe to assess Xilonix™ as a treatment for colorectal cancer. The California complaint purports to assert claims for violations of Sections 11, 12(a)(2) and 15 of the Securities Act, and the federal complaint purports to assert claims for violation of Sections 10(b) and 20(a) of the Exchange Act and Rule 10b-5 promulgated thereunder. Both complaints seek, on behalf of the purported class, an unspecified amount of monetary damages, interest, fees and expenses of attorneys and experts, and other relief.</w:t>
      </w:r>
    </w:p>
    <w:p>
      <w:pPr>
        <w:spacing w:after="0" w:line="18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September 2016, a stay was granted at the Superior Court for the State of California, Los Angeles County, in Yogina Rezko v. XBiotech Inc., John Simard, Queena Han and WR Hambrecht &amp; Co., LLC, in light of the ongoing case, Linh Tran v. XBiotech Inc., John Simard and Queena Han, in the U.S. District Court for the Western District of Texas, leaving plaintiffs with an opportunity re-file a complaint in Texas. In October 2016, the Texas securities class action lawsuit was dismissed with prejudice. At the June 7, 2017 hearing at the Superior Court for the State of California, Los Angeles County, we were granted a motion on the grounds of forum non conveniens. The judge ruled that the case belonged in Texas, not in California. The case is nevertheless stayed, due to California procedural rules, and not dismissed.</w:t>
      </w:r>
    </w:p>
    <w:p>
      <w:pPr>
        <w:spacing w:after="0" w:line="19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plaintiffs re-filed their suit in Travis County district court, located in Austin, Texas, on July 6, 2017. XBiotech subsequently removed the case to the U.S. District Court for the Western District of Texas. Following a recent Supreme Court decision holding that the types of claims asserted in this action are non-removable, the suit was remanded back to Travis County district court, where it remains pending. XBiotech believes the claims asserted in the case are without merit and intends to mount a vigorous defense.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There have been no material changes to the risk factors included in our Annual Report on Form 10-K for the year ended December 31, 2017. Please carefully consider the information set forth in this Quarterly Report on Form 10-Q and the risk factors discussed in Part I, “Item 1A. Risk Factors” in our Annual Report on Form 10-K for the year ended December 31, 2017, which could materially affect our business, financial condition or future results. The risks described in our Annual Report on Form 10-K, as well as other risks and uncertainties, could materially and adversely affect our business, results of operations and financial condition, which in turn could materially and adversely affect the trading price of shares of our Common Stock. Additional risks not currently known or currently material to us may also harm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25" w:name="page26"/>
    <w:bookmarkEnd w:id="25"/>
    <w:p>
      <w:pPr>
        <w:jc w:val="center"/>
        <w:ind w:right="7799"/>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219"/>
          </w:cols>
          <w:pgMar w:left="240" w:top="688"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332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4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3320" w:type="dxa"/>
            <w:vAlign w:val="bottom"/>
            <w:gridSpan w:val="3"/>
          </w:tcPr>
          <w:p>
            <w:pPr>
              <w:ind w:left="500"/>
              <w:spacing w:after="0"/>
              <w:rPr>
                <w:rFonts w:ascii="Arial" w:cs="Arial" w:eastAsia="Arial" w:hAnsi="Arial"/>
                <w:sz w:val="18"/>
                <w:szCs w:val="18"/>
                <w:color w:val="0000EE"/>
              </w:rPr>
            </w:pPr>
            <w:hyperlink w:anchor="page29">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7960" w:type="dxa"/>
            <w:vAlign w:val="bottom"/>
            <w:gridSpan w:val="6"/>
          </w:tcPr>
          <w:p>
            <w:pPr>
              <w:ind w:left="480"/>
              <w:spacing w:after="0"/>
              <w:rPr>
                <w:rFonts w:ascii="Arial" w:cs="Arial" w:eastAsia="Arial" w:hAnsi="Arial"/>
                <w:sz w:val="18"/>
                <w:szCs w:val="18"/>
                <w:color w:val="0000EE"/>
                <w:w w:val="98"/>
              </w:rPr>
            </w:pPr>
            <w:hyperlink w:anchor="page29">
              <w:r>
                <w:rPr>
                  <w:rFonts w:ascii="Arial" w:cs="Arial" w:eastAsia="Arial" w:hAnsi="Arial"/>
                  <w:sz w:val="18"/>
                  <w:szCs w:val="18"/>
                  <w:color w:val="0000EE"/>
                  <w:w w:val="98"/>
                </w:rPr>
                <w:t>Certification of Principal Executive Officer Required Under Rule 13a-14(a) and 15d-14(a) of the</w:t>
              </w:r>
            </w:hyperlink>
          </w:p>
        </w:tc>
      </w:tr>
      <w:tr>
        <w:trPr>
          <w:trHeight w:val="20"/>
        </w:trPr>
        <w:tc>
          <w:tcPr>
            <w:tcW w:w="5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7960" w:type="dxa"/>
            <w:vAlign w:val="bottom"/>
            <w:gridSpan w:val="6"/>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Securities Exchange Act of 1934, as amended.</w:t>
              </w:r>
            </w:hyperlink>
          </w:p>
        </w:tc>
      </w:tr>
      <w:tr>
        <w:trPr>
          <w:trHeight w:val="20"/>
        </w:trPr>
        <w:tc>
          <w:tcPr>
            <w:tcW w:w="3320" w:type="dxa"/>
            <w:vAlign w:val="bottom"/>
            <w:gridSpan w:val="3"/>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320" w:type="dxa"/>
            <w:vAlign w:val="bottom"/>
            <w:gridSpan w:val="3"/>
          </w:tcPr>
          <w:p>
            <w:pPr>
              <w:ind w:left="500"/>
              <w:spacing w:after="0"/>
              <w:rPr>
                <w:rFonts w:ascii="Arial" w:cs="Arial" w:eastAsia="Arial" w:hAnsi="Arial"/>
                <w:sz w:val="18"/>
                <w:szCs w:val="18"/>
                <w:color w:val="0000EE"/>
              </w:rPr>
            </w:pPr>
            <w:hyperlink w:anchor="page31">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7960" w:type="dxa"/>
            <w:vAlign w:val="bottom"/>
            <w:gridSpan w:val="6"/>
          </w:tcPr>
          <w:p>
            <w:pPr>
              <w:ind w:left="480"/>
              <w:spacing w:after="0"/>
              <w:rPr>
                <w:rFonts w:ascii="Arial" w:cs="Arial" w:eastAsia="Arial" w:hAnsi="Arial"/>
                <w:sz w:val="18"/>
                <w:szCs w:val="18"/>
                <w:color w:val="0000EE"/>
                <w:w w:val="99"/>
              </w:rPr>
            </w:pPr>
            <w:hyperlink w:anchor="page31">
              <w:r>
                <w:rPr>
                  <w:rFonts w:ascii="Arial" w:cs="Arial" w:eastAsia="Arial" w:hAnsi="Arial"/>
                  <w:sz w:val="18"/>
                  <w:szCs w:val="18"/>
                  <w:color w:val="0000EE"/>
                  <w:w w:val="99"/>
                </w:rPr>
                <w:t>Certification of Principal Financial Officer Required Under Rule 13a-14(a) and 15d-14(a) of the</w:t>
              </w:r>
            </w:hyperlink>
          </w:p>
        </w:tc>
      </w:tr>
      <w:tr>
        <w:trPr>
          <w:trHeight w:val="20"/>
        </w:trPr>
        <w:tc>
          <w:tcPr>
            <w:tcW w:w="5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40" w:type="dxa"/>
            <w:vAlign w:val="bottom"/>
            <w:gridSpan w:val="2"/>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7960" w:type="dxa"/>
            <w:vAlign w:val="bottom"/>
            <w:gridSpan w:val="6"/>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Securities Exchange Act of 1934, as amended.</w:t>
              </w:r>
            </w:hyperlink>
          </w:p>
        </w:tc>
      </w:tr>
      <w:tr>
        <w:trPr>
          <w:trHeight w:val="20"/>
        </w:trPr>
        <w:tc>
          <w:tcPr>
            <w:tcW w:w="3320" w:type="dxa"/>
            <w:vAlign w:val="bottom"/>
            <w:gridSpan w:val="3"/>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320" w:type="dxa"/>
            <w:vAlign w:val="bottom"/>
            <w:gridSpan w:val="3"/>
          </w:tcPr>
          <w:p>
            <w:pPr>
              <w:ind w:left="500"/>
              <w:spacing w:after="0"/>
              <w:rPr>
                <w:rFonts w:ascii="Arial" w:cs="Arial" w:eastAsia="Arial" w:hAnsi="Arial"/>
                <w:sz w:val="18"/>
                <w:szCs w:val="18"/>
                <w:color w:val="0000EE"/>
              </w:rPr>
            </w:pPr>
            <w:hyperlink w:anchor="page33">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7960" w:type="dxa"/>
            <w:vAlign w:val="bottom"/>
            <w:gridSpan w:val="6"/>
          </w:tcPr>
          <w:p>
            <w:pPr>
              <w:spacing w:after="0"/>
              <w:rPr>
                <w:rFonts w:ascii="Arial" w:cs="Arial" w:eastAsia="Arial" w:hAnsi="Arial"/>
                <w:sz w:val="18"/>
                <w:szCs w:val="18"/>
                <w:color w:val="0000EE"/>
                <w:w w:val="93"/>
              </w:rPr>
            </w:pPr>
            <w:hyperlink w:anchor="page33">
              <w:r>
                <w:rPr>
                  <w:rFonts w:ascii="Arial" w:cs="Arial" w:eastAsia="Arial" w:hAnsi="Arial"/>
                  <w:sz w:val="18"/>
                  <w:szCs w:val="18"/>
                  <w:color w:val="0000EE"/>
                  <w:w w:val="93"/>
                </w:rPr>
                <w:t>Certification of Principal Executive Officer and Principal Financial Officer Required Under Rule 13a-14(b) of</w:t>
              </w:r>
            </w:hyperlink>
          </w:p>
        </w:tc>
      </w:tr>
      <w:tr>
        <w:trPr>
          <w:trHeight w:val="196"/>
        </w:trPr>
        <w:tc>
          <w:tcPr>
            <w:tcW w:w="50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520" w:type="dxa"/>
            <w:vAlign w:val="bottom"/>
          </w:tcPr>
          <w:p>
            <w:pPr>
              <w:spacing w:after="0"/>
              <w:rPr>
                <w:sz w:val="17"/>
                <w:szCs w:val="17"/>
                <w:color w:val="auto"/>
              </w:rPr>
            </w:pPr>
          </w:p>
        </w:tc>
        <w:tc>
          <w:tcPr>
            <w:tcW w:w="52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the Securities Exchange Act of 1934, as amended, and 18 U.S.C. §1350.</w:t>
              </w:r>
            </w:hyperlink>
          </w:p>
        </w:tc>
        <w:tc>
          <w:tcPr>
            <w:tcW w:w="272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438"/>
        </w:trPr>
        <w:tc>
          <w:tcPr>
            <w:tcW w:w="800" w:type="dxa"/>
            <w:vAlign w:val="bottom"/>
            <w:gridSpan w:val="2"/>
          </w:tcPr>
          <w:p>
            <w:pPr>
              <w:ind w:left="500"/>
              <w:spacing w:after="0"/>
              <w:rPr>
                <w:sz w:val="20"/>
                <w:szCs w:val="20"/>
                <w:color w:val="auto"/>
              </w:rPr>
            </w:pPr>
            <w:r>
              <w:rPr>
                <w:rFonts w:ascii="Arial" w:cs="Arial" w:eastAsia="Arial" w:hAnsi="Arial"/>
                <w:sz w:val="18"/>
                <w:szCs w:val="18"/>
                <w:color w:val="auto"/>
                <w:w w:val="93"/>
              </w:rPr>
              <w:t>101</w:t>
            </w:r>
          </w:p>
        </w:tc>
        <w:tc>
          <w:tcPr>
            <w:tcW w:w="2520" w:type="dxa"/>
            <w:vAlign w:val="bottom"/>
          </w:tcPr>
          <w:p>
            <w:pPr>
              <w:spacing w:after="0"/>
              <w:rPr>
                <w:sz w:val="24"/>
                <w:szCs w:val="24"/>
                <w:color w:val="auto"/>
              </w:rPr>
            </w:pPr>
          </w:p>
        </w:tc>
        <w:tc>
          <w:tcPr>
            <w:tcW w:w="7960" w:type="dxa"/>
            <w:vAlign w:val="bottom"/>
            <w:gridSpan w:val="6"/>
          </w:tcPr>
          <w:p>
            <w:pPr>
              <w:ind w:left="480"/>
              <w:spacing w:after="0"/>
              <w:rPr>
                <w:sz w:val="20"/>
                <w:szCs w:val="20"/>
                <w:color w:val="auto"/>
              </w:rPr>
            </w:pPr>
            <w:r>
              <w:rPr>
                <w:rFonts w:ascii="Arial" w:cs="Arial" w:eastAsia="Arial" w:hAnsi="Arial"/>
                <w:sz w:val="18"/>
                <w:szCs w:val="18"/>
                <w:color w:val="auto"/>
                <w:w w:val="97"/>
              </w:rPr>
              <w:t>The following financial statements from the XBiotech Inc. Quarterly Report on Form 10-Q for the</w:t>
            </w:r>
          </w:p>
        </w:tc>
      </w:tr>
      <w:tr>
        <w:trPr>
          <w:trHeight w:val="216"/>
        </w:trPr>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960" w:type="dxa"/>
            <w:vAlign w:val="bottom"/>
            <w:gridSpan w:val="6"/>
          </w:tcPr>
          <w:p>
            <w:pPr>
              <w:spacing w:after="0"/>
              <w:rPr>
                <w:sz w:val="20"/>
                <w:szCs w:val="20"/>
                <w:color w:val="auto"/>
              </w:rPr>
            </w:pPr>
            <w:r>
              <w:rPr>
                <w:rFonts w:ascii="Arial" w:cs="Arial" w:eastAsia="Arial" w:hAnsi="Arial"/>
                <w:sz w:val="18"/>
                <w:szCs w:val="18"/>
                <w:color w:val="auto"/>
                <w:w w:val="93"/>
              </w:rPr>
              <w:t>quarter ended June 30, 2018, formatted in Extensive Business Reporting Language (XBRL): (i) condensed</w:t>
            </w:r>
          </w:p>
        </w:tc>
      </w:tr>
      <w:tr>
        <w:trPr>
          <w:trHeight w:val="230"/>
        </w:trPr>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960" w:type="dxa"/>
            <w:vAlign w:val="bottom"/>
            <w:gridSpan w:val="6"/>
          </w:tcPr>
          <w:p>
            <w:pPr>
              <w:spacing w:after="0"/>
              <w:rPr>
                <w:sz w:val="20"/>
                <w:szCs w:val="20"/>
                <w:color w:val="auto"/>
              </w:rPr>
            </w:pPr>
            <w:r>
              <w:rPr>
                <w:rFonts w:ascii="Arial" w:cs="Arial" w:eastAsia="Arial" w:hAnsi="Arial"/>
                <w:sz w:val="18"/>
                <w:szCs w:val="18"/>
                <w:color w:val="auto"/>
                <w:w w:val="89"/>
              </w:rPr>
              <w:t>consolidated balance sheets, (ii) condensed consolidated statements of operations, (iii) condensed consolidated</w:t>
            </w:r>
          </w:p>
        </w:tc>
      </w:tr>
    </w:tbl>
    <w:p>
      <w:pPr>
        <w:ind w:left="3320" w:right="460"/>
        <w:spacing w:after="0" w:line="261" w:lineRule="auto"/>
        <w:rPr>
          <w:sz w:val="20"/>
          <w:szCs w:val="20"/>
          <w:color w:val="auto"/>
        </w:rPr>
      </w:pPr>
      <w:r>
        <w:rPr>
          <w:rFonts w:ascii="Arial" w:cs="Arial" w:eastAsia="Arial" w:hAnsi="Arial"/>
          <w:sz w:val="18"/>
          <w:szCs w:val="18"/>
          <w:color w:val="auto"/>
        </w:rPr>
        <w:t>statements of comprehensive loss, (iv) condensed consolidated statements of cash flows and (v) notes to condensed consolidated financial statements (detail tagged).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80"/>
          </w:cols>
          <w:pgMar w:left="240" w:top="688"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Arial" w:cs="Arial" w:eastAsia="Arial" w:hAnsi="Arial"/>
                <w:sz w:val="18"/>
                <w:szCs w:val="18"/>
                <w:color w:val="auto"/>
              </w:rPr>
              <w:t>Date: August 9, 2018</w:t>
            </w:r>
          </w:p>
        </w:tc>
        <w:tc>
          <w:tcPr>
            <w:tcW w:w="2960" w:type="dxa"/>
            <w:vAlign w:val="bottom"/>
          </w:tcPr>
          <w:p>
            <w:pPr>
              <w:ind w:left="1460"/>
              <w:spacing w:after="0"/>
              <w:rPr>
                <w:sz w:val="20"/>
                <w:szCs w:val="20"/>
                <w:color w:val="auto"/>
              </w:rPr>
            </w:pPr>
            <w:r>
              <w:rPr>
                <w:rFonts w:ascii="Arial" w:cs="Arial" w:eastAsia="Arial" w:hAnsi="Arial"/>
                <w:sz w:val="18"/>
                <w:szCs w:val="18"/>
                <w:b w:val="1"/>
                <w:bCs w:val="1"/>
                <w:color w:val="auto"/>
              </w:rPr>
              <w:t>XBIOTECH INC.</w:t>
            </w:r>
          </w:p>
        </w:tc>
        <w:tc>
          <w:tcPr>
            <w:tcW w:w="5460" w:type="dxa"/>
            <w:vAlign w:val="bottom"/>
          </w:tcPr>
          <w:p>
            <w:pPr>
              <w:spacing w:after="0"/>
              <w:rPr>
                <w:sz w:val="20"/>
                <w:szCs w:val="20"/>
                <w:color w:val="auto"/>
              </w:rPr>
            </w:pPr>
          </w:p>
        </w:tc>
      </w:tr>
      <w:tr>
        <w:trPr>
          <w:trHeight w:val="864"/>
        </w:trPr>
        <w:tc>
          <w:tcPr>
            <w:tcW w:w="3000" w:type="dxa"/>
            <w:vAlign w:val="bottom"/>
          </w:tcPr>
          <w:p>
            <w:pPr>
              <w:spacing w:after="0"/>
              <w:rPr>
                <w:sz w:val="24"/>
                <w:szCs w:val="24"/>
                <w:color w:val="auto"/>
              </w:rPr>
            </w:pPr>
          </w:p>
        </w:tc>
        <w:tc>
          <w:tcPr>
            <w:tcW w:w="2960" w:type="dxa"/>
            <w:vAlign w:val="bottom"/>
          </w:tcPr>
          <w:p>
            <w:pPr>
              <w:ind w:left="146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Simard</w:t>
            </w:r>
          </w:p>
        </w:tc>
      </w:tr>
      <w:tr>
        <w:trPr>
          <w:trHeight w:val="195"/>
        </w:trPr>
        <w:tc>
          <w:tcPr>
            <w:tcW w:w="30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5460" w:type="dxa"/>
            <w:vAlign w:val="bottom"/>
          </w:tcPr>
          <w:p>
            <w:pPr>
              <w:spacing w:after="0" w:line="195" w:lineRule="exact"/>
              <w:rPr>
                <w:sz w:val="20"/>
                <w:szCs w:val="20"/>
                <w:color w:val="auto"/>
              </w:rPr>
            </w:pPr>
            <w:r>
              <w:rPr>
                <w:rFonts w:ascii="Arial" w:cs="Arial" w:eastAsia="Arial" w:hAnsi="Arial"/>
                <w:sz w:val="18"/>
                <w:szCs w:val="18"/>
                <w:color w:val="auto"/>
              </w:rPr>
              <w:t>John Simard</w:t>
            </w:r>
          </w:p>
        </w:tc>
      </w:tr>
      <w:tr>
        <w:trPr>
          <w:trHeight w:val="216"/>
        </w:trPr>
        <w:tc>
          <w:tcPr>
            <w:tcW w:w="30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President, Chief Executive Officer and Director (</w:t>
            </w:r>
            <w:r>
              <w:rPr>
                <w:rFonts w:ascii="Arial" w:cs="Arial" w:eastAsia="Arial" w:hAnsi="Arial"/>
                <w:sz w:val="18"/>
                <w:szCs w:val="18"/>
                <w:i w:val="1"/>
                <w:iCs w:val="1"/>
                <w:color w:val="auto"/>
              </w:rPr>
              <w:t>Principal Executive</w:t>
            </w:r>
          </w:p>
        </w:tc>
      </w:tr>
      <w:tr>
        <w:trPr>
          <w:trHeight w:val="230"/>
        </w:trPr>
        <w:tc>
          <w:tcPr>
            <w:tcW w:w="30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w:t>
            </w:r>
          </w:p>
        </w:tc>
      </w:tr>
      <w:tr>
        <w:trPr>
          <w:trHeight w:val="432"/>
        </w:trPr>
        <w:tc>
          <w:tcPr>
            <w:tcW w:w="3000" w:type="dxa"/>
            <w:vAlign w:val="bottom"/>
          </w:tcPr>
          <w:p>
            <w:pPr>
              <w:spacing w:after="0"/>
              <w:rPr>
                <w:sz w:val="20"/>
                <w:szCs w:val="20"/>
                <w:color w:val="auto"/>
              </w:rPr>
            </w:pPr>
            <w:r>
              <w:rPr>
                <w:rFonts w:ascii="Arial" w:cs="Arial" w:eastAsia="Arial" w:hAnsi="Arial"/>
                <w:sz w:val="18"/>
                <w:szCs w:val="18"/>
                <w:color w:val="auto"/>
              </w:rPr>
              <w:t>Date: August 9, 2018</w:t>
            </w:r>
          </w:p>
        </w:tc>
        <w:tc>
          <w:tcPr>
            <w:tcW w:w="2960" w:type="dxa"/>
            <w:vAlign w:val="bottom"/>
          </w:tcPr>
          <w:p>
            <w:pPr>
              <w:ind w:left="146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Queena Han</w:t>
            </w:r>
          </w:p>
        </w:tc>
      </w:tr>
      <w:tr>
        <w:trPr>
          <w:trHeight w:val="195"/>
        </w:trPr>
        <w:tc>
          <w:tcPr>
            <w:tcW w:w="30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5460" w:type="dxa"/>
            <w:vAlign w:val="bottom"/>
          </w:tcPr>
          <w:p>
            <w:pPr>
              <w:spacing w:after="0" w:line="195" w:lineRule="exact"/>
              <w:rPr>
                <w:sz w:val="20"/>
                <w:szCs w:val="20"/>
                <w:color w:val="auto"/>
              </w:rPr>
            </w:pPr>
            <w:r>
              <w:rPr>
                <w:rFonts w:ascii="Arial" w:cs="Arial" w:eastAsia="Arial" w:hAnsi="Arial"/>
                <w:sz w:val="18"/>
                <w:szCs w:val="18"/>
                <w:color w:val="auto"/>
              </w:rPr>
              <w:t>Queena Han</w:t>
            </w:r>
          </w:p>
        </w:tc>
      </w:tr>
      <w:tr>
        <w:trPr>
          <w:trHeight w:val="216"/>
        </w:trPr>
        <w:tc>
          <w:tcPr>
            <w:tcW w:w="30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3"/>
              </w:rPr>
              <w:t>Vice President, Finance and Human Resources, and Secretary (</w:t>
            </w:r>
            <w:r>
              <w:rPr>
                <w:rFonts w:ascii="Arial" w:cs="Arial" w:eastAsia="Arial" w:hAnsi="Arial"/>
                <w:sz w:val="18"/>
                <w:szCs w:val="18"/>
                <w:i w:val="1"/>
                <w:iCs w:val="1"/>
                <w:color w:val="auto"/>
                <w:w w:val="93"/>
              </w:rPr>
              <w:t>Principal</w:t>
            </w:r>
          </w:p>
        </w:tc>
      </w:tr>
      <w:tr>
        <w:trPr>
          <w:trHeight w:val="230"/>
        </w:trPr>
        <w:tc>
          <w:tcPr>
            <w:tcW w:w="30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i w:val="1"/>
                <w:iCs w:val="1"/>
                <w:color w:val="auto"/>
              </w:rPr>
              <w:t>Financial Officer and Principal Accounting Officer</w:t>
            </w: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i w:val="1"/>
          <w:i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Simard, certify that:</w:t>
      </w:r>
    </w:p>
    <w:p>
      <w:pPr>
        <w:spacing w:after="0" w:line="225"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XBiotech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720" w:hanging="290"/>
        <w:spacing w:after="0" w:line="264" w:lineRule="auto"/>
        <w:tabs>
          <w:tab w:leader="none" w:pos="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720" w:hanging="300"/>
        <w:spacing w:after="0" w:line="264" w:lineRule="auto"/>
        <w:tabs>
          <w:tab w:leader="none" w:pos="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720" w:hanging="290"/>
        <w:spacing w:after="0" w:line="308" w:lineRule="auto"/>
        <w:tabs>
          <w:tab w:leader="none" w:pos="7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720" w:hanging="300"/>
        <w:spacing w:after="0" w:line="264" w:lineRule="auto"/>
        <w:tabs>
          <w:tab w:leader="none" w:pos="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ind w:left="720" w:hanging="290"/>
        <w:spacing w:after="0" w:line="277"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20" w:right="20" w:hanging="300"/>
        <w:spacing w:after="0" w:line="277"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2018</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u w:val="single" w:color="auto"/>
          <w:color w:val="auto"/>
        </w:rPr>
        <w:t>/S/ John Simard</w:t>
      </w:r>
    </w:p>
    <w:p>
      <w:pPr>
        <w:spacing w:after="0" w:line="23"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John Simard</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692"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i w:val="1"/>
          <w:i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Queena Han, certify that:</w:t>
      </w:r>
    </w:p>
    <w:p>
      <w:pPr>
        <w:spacing w:after="0" w:line="225"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XBiotech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720" w:hanging="290"/>
        <w:spacing w:after="0" w:line="264" w:lineRule="auto"/>
        <w:tabs>
          <w:tab w:leader="none" w:pos="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720" w:hanging="300"/>
        <w:spacing w:after="0" w:line="264" w:lineRule="auto"/>
        <w:tabs>
          <w:tab w:leader="none" w:pos="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720" w:hanging="290"/>
        <w:spacing w:after="0" w:line="308" w:lineRule="auto"/>
        <w:tabs>
          <w:tab w:leader="none" w:pos="7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720" w:hanging="300"/>
        <w:spacing w:after="0" w:line="264" w:lineRule="auto"/>
        <w:tabs>
          <w:tab w:leader="none" w:pos="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ind w:left="720" w:hanging="290"/>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20" w:right="20" w:hanging="300"/>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2018</w:t>
      </w:r>
    </w:p>
    <w:p>
      <w:pPr>
        <w:spacing w:after="0" w:line="221"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/S/ QUEENA HAN</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Queena Han</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Vice President, Finance and Human Resources and Secretary</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692" w:right="239" w:bottom="1440" w:gutter="0" w:footer="0" w:header="0"/>
        </w:sectPr>
      </w:pPr>
    </w:p>
    <w:bookmarkStart w:id="32" w:name="page33"/>
    <w:bookmarkEnd w:id="32"/>
    <w:p>
      <w:pPr>
        <w:ind w:left="1048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AND PRINCIPAL FINANCIAL OFFICER PURSUANT TO 18 U.S.C. SECTION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80" w:firstLine="648"/>
        <w:spacing w:after="0" w:line="286" w:lineRule="auto"/>
        <w:rPr>
          <w:sz w:val="20"/>
          <w:szCs w:val="20"/>
          <w:color w:val="auto"/>
        </w:rPr>
      </w:pPr>
      <w:r>
        <w:rPr>
          <w:rFonts w:ascii="Arial" w:cs="Arial" w:eastAsia="Arial" w:hAnsi="Arial"/>
          <w:sz w:val="17"/>
          <w:szCs w:val="17"/>
          <w:color w:val="auto"/>
        </w:rPr>
        <w:t>In connection with the Quarterly Report of XBiotech Inc. on Form 10-Q for the period ended June 30, 2018 as filed with the Securities and Exchange Commission on the date hereof (the “Report”), I, John Simard, Chief Executive Officer and President of the Company, certify, pursuant to 18 U.S.C. §1350, as adopted pursuant to §906 of the Sarbanes-Oxley Act of 2002, that to the best of my knowledge:</w:t>
      </w:r>
    </w:p>
    <w:p>
      <w:pPr>
        <w:spacing w:after="0" w:line="166" w:lineRule="exact"/>
        <w:rPr>
          <w:sz w:val="20"/>
          <w:szCs w:val="20"/>
          <w:color w:val="auto"/>
        </w:rPr>
      </w:pPr>
    </w:p>
    <w:p>
      <w:pPr>
        <w:ind w:left="920" w:hanging="264"/>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XBiotech Inc.</w:t>
      </w:r>
    </w:p>
    <w:p>
      <w:pPr>
        <w:spacing w:after="0" w:line="244"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w:t>
      </w:r>
      <w:r>
        <w:rPr>
          <w:rFonts w:ascii="Arial" w:cs="Arial" w:eastAsia="Arial" w:hAnsi="Arial"/>
          <w:sz w:val="18"/>
          <w:szCs w:val="18"/>
          <w:b w:val="1"/>
          <w:bCs w:val="1"/>
          <w:u w:val="single" w:color="auto"/>
          <w:color w:val="auto"/>
        </w:rPr>
        <w:t>JOHN SIMARD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John Simard</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Date: August 9, 2018</w:t>
      </w:r>
    </w:p>
    <w:p>
      <w:pPr>
        <w:spacing w:after="0" w:line="21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 connection with the Quarterly Report of XBiotech Inc. on Form 10-Q for the period ended June 30, 2018, as filed with the Securities and Exchange Commission on the date hereof (the “Report”), I, Queena Han, Vice President of Finance, Human Resources and Secretary of the Company, certify, pursuant to 18 U.S.C. §1350, as adopted pursuant to §906 of the Sarbanes-Oxley Act of 2002, that to the best of my knowledge:</w:t>
      </w:r>
    </w:p>
    <w:p>
      <w:pPr>
        <w:spacing w:after="0" w:line="166" w:lineRule="exact"/>
        <w:rPr>
          <w:sz w:val="20"/>
          <w:szCs w:val="20"/>
          <w:color w:val="auto"/>
        </w:rPr>
      </w:pPr>
    </w:p>
    <w:p>
      <w:pPr>
        <w:ind w:left="920" w:hanging="264"/>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XBiotech Inc.</w:t>
      </w:r>
    </w:p>
    <w:p>
      <w:pPr>
        <w:spacing w:after="0" w:line="244" w:lineRule="exact"/>
        <w:rPr>
          <w:sz w:val="20"/>
          <w:szCs w:val="20"/>
          <w:color w:val="auto"/>
        </w:rPr>
      </w:pPr>
    </w:p>
    <w:p>
      <w:pPr>
        <w:ind w:left="3900"/>
        <w:spacing w:after="0"/>
        <w:rPr>
          <w:sz w:val="20"/>
          <w:szCs w:val="20"/>
          <w:color w:val="auto"/>
        </w:rPr>
      </w:pPr>
      <w:r>
        <w:rPr>
          <w:rFonts w:ascii="Arial" w:cs="Arial" w:eastAsia="Arial" w:hAnsi="Arial"/>
          <w:sz w:val="18"/>
          <w:szCs w:val="18"/>
          <w:b w:val="1"/>
          <w:bCs w:val="1"/>
          <w:u w:val="single" w:color="auto"/>
          <w:color w:val="auto"/>
        </w:rPr>
        <w:t>/S/ QUEENA HAN</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Queena Han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Vice President, Finance and Human Resources and Secretary</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Date: August 9, 2018</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2"/>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3"/>
    </w:lvl>
  </w:abstractNum>
  <w:abstractNum w:abstractNumId="8">
    <w:nsid w:val="140E0F76"/>
    <w:multiLevelType w:val="hybridMultilevel"/>
    <w:lvl w:ilvl="0">
      <w:lvlJc w:val="left"/>
      <w:lvlText w:val="%1."/>
      <w:numFmt w:val="decimal"/>
      <w:start w:val="4"/>
    </w:lvl>
  </w:abstractNum>
  <w:abstractNum w:abstractNumId="9">
    <w:nsid w:val="3352255A"/>
    <w:multiLevelType w:val="hybridMultilevel"/>
    <w:lvl w:ilvl="0">
      <w:lvlJc w:val="left"/>
      <w:lvlText w:val="%1."/>
      <w:numFmt w:val="decimal"/>
      <w:start w:val="5"/>
    </w:lvl>
  </w:abstractNum>
  <w:abstractNum w:abstractNumId="10">
    <w:nsid w:val="109CF92E"/>
    <w:multiLevelType w:val="hybridMultilevel"/>
    <w:lvl w:ilvl="0">
      <w:lvlJc w:val="left"/>
      <w:lvlText w:val="%1."/>
      <w:numFmt w:val="decimal"/>
      <w:start w:val="1"/>
    </w:lvl>
    <w:lvl w:ilvl="1">
      <w:lvlJc w:val="left"/>
      <w:lvlText w:val="(%2)"/>
      <w:numFmt w:val="lowerLetter"/>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2019-12-28T20:25:04Z</dcterms:created>
  <dcterms:modified xsi:type="dcterms:W3CDTF">2019-12-28T20:25:04Z</dcterms:modified>
</cp:coreProperties>
</file>