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11, 2026</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 Canada</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240" w:space="720"/>
            <w:col w:w="4280"/>
          </w:cols>
          <w:pgMar w:left="320" w:top="22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5217 Winnebago Lane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XBIOTECH INC. 2025 EQUITY INCENTIVE PLAN</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Sushma Shivaswamy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XBiotech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5217 Winnebago Lane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Austin, TX 78744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(512) 386-2900</w:t>
      </w:r>
    </w:p>
    <w:p>
      <w:pPr>
        <w:spacing w:after="0" w:line="200" w:lineRule="exact"/>
        <w:rPr>
          <w:sz w:val="24"/>
          <w:szCs w:val="24"/>
          <w:color w:val="auto"/>
        </w:rPr>
      </w:pPr>
    </w:p>
    <w:p>
      <w:pPr>
        <w:spacing w:after="0" w:line="22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920" w:space="720"/>
            <w:col w:w="4600"/>
          </w:cols>
          <w:pgMar w:left="320" w:top="225"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29, 2025, at the 2025 Annual Meeting of Shareholders of XBiotech Inc. (the “Company”), the Company’s shareholders approved the XBiotech Inc. 2025 Equity Incentive Plan (the “Plan”), which replaced the XBiotech Inc. 2015 Equity Incentive Plan (as amended, the “Prior Plan”). This Registration Statement on Form S-8 is filed with the Securities and Exchange Commission (the “Commission”) for registration of 3,000,000 shares of common stock, no par value per share (“Common Stock”), of the Company authorized for issuance pursuant to the Plan, and an additional 5,382,681 shares of Common Stock underlying outstanding awards granted under the Prior Plan, which if cancelled, forfeited or terminated for any reason prior to exercise, delivery or becoming vested in full, are available for future grant under the Plan. No further awards may be granted under the Prior Plan, but any awards granted prior to such termination remain outstanding in accordance with their terms.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and the introductory note to Part I of the Form S-8 instructions. The documents containing the information specified in Part I will be delivered to the participants in the plans as required by Rule 428(b)(1).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Commission:</w:t>
      </w:r>
    </w:p>
    <w:p>
      <w:pPr>
        <w:spacing w:after="0" w:line="225" w:lineRule="exact"/>
        <w:rPr>
          <w:sz w:val="20"/>
          <w:szCs w:val="20"/>
          <w:color w:val="auto"/>
        </w:rPr>
      </w:pPr>
    </w:p>
    <w:p>
      <w:pPr>
        <w:jc w:val="both"/>
        <w:ind w:left="340" w:firstLine="316"/>
        <w:spacing w:after="0" w:line="266" w:lineRule="auto"/>
        <w:tabs>
          <w:tab w:leader="none" w:pos="93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Annual Report on Form 10-K for the year ended December 31, 2024, filed with the Commission on </w:t>
      </w:r>
      <w:hyperlink r:id="rId9">
        <w:r>
          <w:rPr>
            <w:rFonts w:ascii="Times New Roman" w:cs="Times New Roman" w:eastAsia="Times New Roman" w:hAnsi="Times New Roman"/>
            <w:sz w:val="18"/>
            <w:szCs w:val="18"/>
            <w:u w:val="single" w:color="auto"/>
            <w:color w:val="0000EE"/>
          </w:rPr>
          <w:t>March 18, 2025</w:t>
        </w:r>
      </w:hyperlink>
      <w:r>
        <w:rPr>
          <w:rFonts w:ascii="Times New Roman" w:cs="Times New Roman" w:eastAsia="Times New Roman" w:hAnsi="Times New Roman"/>
          <w:sz w:val="18"/>
          <w:szCs w:val="18"/>
          <w:color w:val="auto"/>
        </w:rPr>
        <w:t xml:space="preserve">, as </w:t>
      </w:r>
      <w:hyperlink r:id="rId10">
        <w:r>
          <w:rPr>
            <w:rFonts w:ascii="Times New Roman" w:cs="Times New Roman" w:eastAsia="Times New Roman" w:hAnsi="Times New Roman"/>
            <w:sz w:val="18"/>
            <w:szCs w:val="18"/>
            <w:color w:val="auto"/>
          </w:rPr>
          <w:t xml:space="preserve">amended by Amendment No. 1 to the Annual Report on Form 10-K/A for the year ended December 31, 2024, filed with the Commission on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ind w:left="340" w:firstLine="316"/>
        <w:spacing w:after="0" w:line="282" w:lineRule="auto"/>
        <w:tabs>
          <w:tab w:leader="none" w:pos="9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quarterly periods ended March 31, 2025, June 30, 2025, and September 30, 2025, filed with the Commission on </w:t>
      </w:r>
      <w:hyperlink r:id="rId11">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August 13, 2025</w:t>
        </w:r>
      </w:hyperlink>
      <w:r>
        <w:rPr>
          <w:rFonts w:ascii="Times New Roman" w:cs="Times New Roman" w:eastAsia="Times New Roman" w:hAnsi="Times New Roman"/>
          <w:sz w:val="18"/>
          <w:szCs w:val="18"/>
          <w:color w:val="auto"/>
        </w:rPr>
        <w:t xml:space="preserve">, and </w:t>
      </w:r>
      <w:hyperlink r:id="rId13">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jc w:val="both"/>
        <w:ind w:left="340" w:firstLine="316"/>
        <w:spacing w:after="0" w:line="266" w:lineRule="auto"/>
        <w:tabs>
          <w:tab w:leader="none" w:pos="912"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filed with the Commission on </w:t>
      </w:r>
      <w:hyperlink r:id="rId14">
        <w:r>
          <w:rPr>
            <w:rFonts w:ascii="Times New Roman" w:cs="Times New Roman" w:eastAsia="Times New Roman" w:hAnsi="Times New Roman"/>
            <w:sz w:val="18"/>
            <w:szCs w:val="18"/>
            <w:u w:val="single" w:color="auto"/>
            <w:color w:val="0000EE"/>
          </w:rPr>
          <w:t>April 1, 2025</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April 7, 2025</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September 2, 2025</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October 3,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by Amendment No. 1 to the Current Report on Form 8-K/A filed with the Commission on</w:t>
      </w:r>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October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December 9, 2025</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EE"/>
        </w:rPr>
      </w:pPr>
    </w:p>
    <w:p>
      <w:pPr>
        <w:ind w:left="340" w:firstLine="316"/>
        <w:spacing w:after="0" w:line="282" w:lineRule="auto"/>
        <w:tabs>
          <w:tab w:leader="none" w:pos="92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Schedule 14A filed with the Commission on </w:t>
      </w:r>
      <w:hyperlink r:id="rId21">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auto"/>
        </w:rPr>
        <w:t>, that are incorporated by reference into our Annual Report on Form 10-K for the fiscal year ended December 31, 2024; and</w:t>
      </w:r>
    </w:p>
    <w:p>
      <w:pPr>
        <w:spacing w:after="0" w:line="161" w:lineRule="exact"/>
        <w:rPr>
          <w:rFonts w:ascii="Times New Roman" w:cs="Times New Roman" w:eastAsia="Times New Roman" w:hAnsi="Times New Roman"/>
          <w:sz w:val="18"/>
          <w:szCs w:val="18"/>
          <w:color w:val="auto"/>
        </w:rPr>
      </w:pPr>
    </w:p>
    <w:p>
      <w:pPr>
        <w:ind w:left="340" w:right="20" w:firstLine="316"/>
        <w:spacing w:after="0" w:line="282" w:lineRule="auto"/>
        <w:tabs>
          <w:tab w:leader="none" w:pos="9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shares contained in the Registrant’s registration statement on Form 8-A filed with the Commission on </w:t>
      </w:r>
      <w:hyperlink r:id="rId22">
        <w:r>
          <w:rPr>
            <w:rFonts w:ascii="Times New Roman" w:cs="Times New Roman" w:eastAsia="Times New Roman" w:hAnsi="Times New Roman"/>
            <w:sz w:val="18"/>
            <w:szCs w:val="18"/>
            <w:u w:val="single" w:color="auto"/>
            <w:color w:val="0000EE"/>
          </w:rPr>
          <w:t>April 14, 2015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001-37347) including any amendment or report filed for purposes of updating such description.</w:t>
      </w:r>
    </w:p>
    <w:p>
      <w:pPr>
        <w:spacing w:after="0" w:line="162" w:lineRule="exact"/>
        <w:rPr>
          <w:rFonts w:ascii="Times New Roman" w:cs="Times New Roman" w:eastAsia="Times New Roman" w:hAnsi="Times New Roman"/>
          <w:sz w:val="18"/>
          <w:szCs w:val="18"/>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is subject to the provisions of Part 5, Division 5 of the Business Corporations Act (British Columbia) (BCBCA).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Section 160 of the BCBCA, the Registrant may, subject to Section 163 of the BCBCA:</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individual who:</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or officer of the Registrant;</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director or officer of another corporation (i) at a time when such corporation is or was an affiliate of the Registrant; or (ii) at the Registrant’s request, or</w:t>
      </w:r>
    </w:p>
    <w:p>
      <w:pPr>
        <w:jc w:val="both"/>
        <w:ind w:left="980" w:hanging="324"/>
        <w:spacing w:after="0" w:line="255"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Registrant’s request, is or was, or holds or held a position equivalent to that of, a director or officer of a partnership, trust, joint venture or other unincorporated entity, and including, subject to certain limited exceptions, the heirs and personal or other legal representatives of that individual (collectively, an “eligible party”), against all eligible penalties to which the eligible party is or may be liable;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final disposition of an eligible proceeding, pay the expenses actually and reasonably incurred by an eligible party in respect of that proceeding, where:</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penalty” means a judgment, penalty or fine awarded or imposed in, or an amount paid in settlement of, and eligible proceeding.</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Registrant or an associated corporation (i) is or may be joined as a party, or (ii) is or may be liable for or in respect of a judgment, penalty or fine in, or expenses related to, the proceeding.</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includes any legal proceeding or investigative action, whether current, threatened, pending or completed.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Section 161 of the BCBCA, and subject to Section 163 of the BCBCA, the Registrant must, after the final disposition of an eligible proceeding, pay the expenses actually and reasonably incurred by an eligible party in respect of that proceeding if the eligible party (i) has not been reimbursed for those expenses, and (ii) is wholly successful, on the merits or otherwise, in the outcome of the proceeding or is substantially successful on the merits in the outcome of the proceeding.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Section 162 of the BCBCA, and subject to Section 163 of the BCBCA, the Registrant may pay, as they are incurred in advance of the final disposition of an eligible proceeding, the expenses actually and reasonably incurred by an eligible party in respect of the proceeding, provided that the Registrant must not make such payments unless the Registrant first receives from the eligible party a written undertaking that, if it is ultimately determined that the payment of expenses is prohibited under Section 163 of the BCBCA, the eligible party will repay the amounts advanced.</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Under Section 163 of the BCBCA, the Registrant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1" w:lineRule="exact"/>
        <w:rPr>
          <w:sz w:val="20"/>
          <w:szCs w:val="20"/>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Registrant was prohibited from giving the indemnity or paying the expenses by the Registrant’s memorandum or articles;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Registrant is prohibited from giving the indemnity or paying the expenses by the Registrant’s memorandum or articles;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relation to the subject matter of the eligible proceeding, the eligible party did not act honestly and in good faith with a view to the best interests of the Registrant or the associated corporation, as the case may be; or</w:t>
      </w: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eligible proceeding is brought against an eligible party by or on behalf of the Registrant or by or on behalf of an associated corporation, the Registrant must not either indemnify the eligible party against eligible penalties to which the eligible party is or may be liable, or pay the expenses of the eligible party under Sections 160, 161 or 162 of the BCBCA, as the case may be, in respect of the proceeding.</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the Registrant or an eligible party, the Supreme Court of British Columbia may do one or more of the following:</w:t>
      </w:r>
    </w:p>
    <w:p>
      <w:pPr>
        <w:spacing w:after="0" w:line="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us to indemnify an eligible party against any liability incurred by the eligible party in respect of an eligible proceeding;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us to pay some or all of the expenses incurred by an eligible party in respect of an eligible proceeding;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the enforcement of, or payment under, an agreement of indemnification entered into by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us to pay some or all of the expenses actually and reasonably incurred by any person in obtaining an order under Section 164 of the BCBCA; or</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order the court considers appropriate.</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Section 165 of the BCBCA provides that the Registrant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Registrant or an associated corporation.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Registrant’s articles, and subject to the BCBCA, the Registrant must indemnify an eligible party and his or her heirs and legal personal representatives against all eligible penalties to which such person is or may be liable, and the Registrant must, after the final disposition of an eligible proceeding, pay the expenses actually and reasonably incurred by such person in respect of that proceeding. Each eligible party is deemed to have contracted with the Registrant on the terms of the indemnity contained in the Registrant’s articles.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Registrant’s articles, and subject to the BCBCA, the Registrant may agree to indemnify and may indemnify any person (including an eligible party) against eligible penalties and pay expenses incurred in connection with the performance of services by that person for 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Registrant’s articles, and subject to the BCBCA, the Registrant may advance expenses to an eligible party.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Registrant’s articles, the failure of an eligible party to comply with the BCBCA or the Registrant’s articles does not, of itself, invalidate any indemnity to which he or she is entitled under the Registrant’s articles.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Registrant’s articles, the Registrant may purchase and maintain insurance for the benefit of an eligible person (or his or her heirs or legal personal representatives) against any liability incurred by him or her as a director, officer or person who holds or held such equivalent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have been filed (except where otherwise indicated) as part of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Continuation dated September 23, 2005, issued by the Registrar of Companies, Province of British Columbia, Canada</w:t>
              </w:r>
            </w:hyperlink>
          </w:p>
        </w:tc>
        <w:tc>
          <w:tcPr>
            <w:tcW w:w="600" w:type="dxa"/>
            <w:vAlign w:val="bottom"/>
            <w:gridSpan w:val="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00" w:type="dxa"/>
            <w:vAlign w:val="bottom"/>
            <w:gridSpan w:val="14"/>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(incorporated by reference to Exhibit 3.1 to the Company’s Registration Statement on Form S-1 filed with the SEC on February 2, 2015).</w:t>
              </w:r>
            </w:hyperlink>
          </w:p>
        </w:tc>
      </w:tr>
      <w:tr>
        <w:trPr>
          <w:trHeight w:val="20"/>
        </w:trPr>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Notice of Articles, dated December 8, 2005, issued by the Registrar of Companies, Province of British Columbia, Canada (incorporated by</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reference to Exhibit 3.2 to the Company’s Registration Statement on Form S-1 filed with the SEC on February 2, 2015).</w:t>
              </w:r>
            </w:hyperlink>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00" w:type="dxa"/>
            <w:vAlign w:val="bottom"/>
            <w:gridSpan w:val="1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Articles of XBiotech Inc. (incorporated by reference to Exhibit 3.3 to the Company’s Registration Statement on Form S-1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SEC on March 27, 2015).</w:t>
              </w:r>
            </w:hyperlink>
          </w:p>
        </w:tc>
        <w:tc>
          <w:tcPr>
            <w:tcW w:w="7900" w:type="dxa"/>
            <w:vAlign w:val="bottom"/>
            <w:tcBorders>
              <w:top w:val="single" w:sz="8" w:color="0000EE"/>
            </w:tcBorders>
            <w:gridSpan w:val="9"/>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12"/>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78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Norton Rose Fulbright Canada LLP.</w:t>
            </w:r>
          </w:p>
        </w:tc>
        <w:tc>
          <w:tcPr>
            <w:tcW w:w="6660" w:type="dxa"/>
            <w:vAlign w:val="bottom"/>
            <w:gridSpan w:val="9"/>
          </w:tcPr>
          <w:p>
            <w:pPr>
              <w:spacing w:after="0"/>
              <w:rPr>
                <w:sz w:val="24"/>
                <w:szCs w:val="24"/>
                <w:color w:val="auto"/>
              </w:rPr>
            </w:pPr>
          </w:p>
        </w:tc>
      </w:tr>
      <w:tr>
        <w:trPr>
          <w:trHeight w:val="41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8"/>
              </w:rPr>
              <w:t>23.</w:t>
            </w:r>
            <w:r>
              <w:rPr>
                <w:rFonts w:ascii="Times New Roman" w:cs="Times New Roman" w:eastAsia="Times New Roman" w:hAnsi="Times New Roman"/>
                <w:sz w:val="18"/>
                <w:szCs w:val="18"/>
                <w:u w:val="single" w:color="auto"/>
                <w:color w:val="0000EE"/>
                <w:w w:val="78"/>
              </w:rPr>
              <w:t>1*</w:t>
            </w:r>
          </w:p>
        </w:tc>
        <w:tc>
          <w:tcPr>
            <w:tcW w:w="7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Whitley Penn LLP.</w:t>
            </w:r>
          </w:p>
        </w:tc>
      </w:tr>
      <w:tr>
        <w:trPr>
          <w:trHeight w:val="20"/>
        </w:trPr>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r>
      <w:tr>
        <w:trPr>
          <w:trHeight w:val="41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8"/>
              </w:rPr>
              <w:t>23.</w:t>
            </w:r>
            <w:r>
              <w:rPr>
                <w:rFonts w:ascii="Times New Roman" w:cs="Times New Roman" w:eastAsia="Times New Roman" w:hAnsi="Times New Roman"/>
                <w:sz w:val="18"/>
                <w:szCs w:val="18"/>
                <w:u w:val="single" w:color="auto"/>
                <w:color w:val="0000EE"/>
                <w:w w:val="78"/>
              </w:rPr>
              <w:t>2*</w:t>
            </w:r>
          </w:p>
        </w:tc>
        <w:tc>
          <w:tcPr>
            <w:tcW w:w="7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Norton Rose Fulbright Canada LLP (included in Exhibit 5.1).</w:t>
            </w:r>
          </w:p>
        </w:tc>
      </w:tr>
      <w:tr>
        <w:trPr>
          <w:trHeight w:val="20"/>
        </w:trPr>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r>
      <w:tr>
        <w:trPr>
          <w:trHeight w:val="412"/>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78"/>
              </w:rPr>
              <w:t>24.</w:t>
            </w:r>
            <w:r>
              <w:rPr>
                <w:rFonts w:ascii="Times New Roman" w:cs="Times New Roman" w:eastAsia="Times New Roman" w:hAnsi="Times New Roman"/>
                <w:sz w:val="18"/>
                <w:szCs w:val="18"/>
                <w:u w:val="single" w:color="auto"/>
                <w:color w:val="0000EE"/>
                <w:w w:val="78"/>
              </w:rPr>
              <w:t>1*</w:t>
            </w:r>
          </w:p>
        </w:tc>
        <w:tc>
          <w:tcPr>
            <w:tcW w:w="780" w:type="dxa"/>
            <w:vAlign w:val="bottom"/>
          </w:tcPr>
          <w:p>
            <w:pPr>
              <w:spacing w:after="0"/>
              <w:rPr>
                <w:sz w:val="24"/>
                <w:szCs w:val="24"/>
                <w:color w:val="auto"/>
              </w:rPr>
            </w:pPr>
          </w:p>
        </w:tc>
        <w:tc>
          <w:tcPr>
            <w:tcW w:w="7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Powers of Attorney of directors and certain officers of the Registrant (included on signature page).</w:t>
            </w:r>
          </w:p>
        </w:tc>
        <w:tc>
          <w:tcPr>
            <w:tcW w:w="3000" w:type="dxa"/>
            <w:vAlign w:val="bottom"/>
            <w:gridSpan w:val="7"/>
          </w:tcPr>
          <w:p>
            <w:pPr>
              <w:spacing w:after="0"/>
              <w:rPr>
                <w:sz w:val="24"/>
                <w:szCs w:val="24"/>
                <w:color w:val="auto"/>
              </w:rPr>
            </w:pPr>
          </w:p>
        </w:tc>
      </w:tr>
      <w:tr>
        <w:trPr>
          <w:trHeight w:val="412"/>
        </w:trPr>
        <w:tc>
          <w:tcPr>
            <w:tcW w:w="3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780" w:type="dxa"/>
            <w:vAlign w:val="bottom"/>
          </w:tcPr>
          <w:p>
            <w:pPr>
              <w:spacing w:after="0"/>
              <w:rPr>
                <w:sz w:val="24"/>
                <w:szCs w:val="24"/>
                <w:color w:val="auto"/>
              </w:rPr>
            </w:pPr>
          </w:p>
        </w:tc>
        <w:tc>
          <w:tcPr>
            <w:tcW w:w="9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XBiotech Inc. 2025 Equity Incentive Plan (incorporated by reference to Annex A to the Registrant’s Definitive Proxy Statement on</w:t>
              </w:r>
            </w:hyperlink>
          </w:p>
        </w:tc>
        <w:tc>
          <w:tcPr>
            <w:tcW w:w="640" w:type="dxa"/>
            <w:vAlign w:val="bottom"/>
            <w:gridSpan w:val="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Schedule 14A filed on July 7, 2025).</w:t>
              </w:r>
            </w:hyperlink>
          </w:p>
        </w:tc>
        <w:tc>
          <w:tcPr>
            <w:tcW w:w="7440" w:type="dxa"/>
            <w:vAlign w:val="bottom"/>
            <w:gridSpan w:val="10"/>
          </w:tcPr>
          <w:p>
            <w:pPr>
              <w:spacing w:after="0"/>
              <w:rPr>
                <w:sz w:val="17"/>
                <w:szCs w:val="17"/>
                <w:color w:val="auto"/>
              </w:rPr>
            </w:pPr>
          </w:p>
        </w:tc>
      </w:tr>
      <w:tr>
        <w:trPr>
          <w:trHeight w:val="41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107*</w:t>
            </w:r>
          </w:p>
        </w:tc>
        <w:tc>
          <w:tcPr>
            <w:tcW w:w="780" w:type="dxa"/>
            <w:vAlign w:val="bottom"/>
          </w:tcPr>
          <w:p>
            <w:pPr>
              <w:spacing w:after="0"/>
              <w:rPr>
                <w:sz w:val="24"/>
                <w:szCs w:val="24"/>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340" w:right="10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(a)(1)(i) and (a) (1)(ii)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ind w:left="332" w:right="100" w:hanging="332"/>
        <w:spacing w:after="0" w:line="258" w:lineRule="auto"/>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332" w:hanging="332"/>
        <w:spacing w:after="0" w:line="254" w:lineRule="auto"/>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1590675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52"/>
          </w:cols>
          <w:pgMar w:left="328" w:top="796"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80" w:firstLine="416"/>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4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XBIOTECH INC.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Sushma Shivaswamy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Sushma Shivaswamy</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Title: Interim Chief Executive Officer </w:t>
      </w:r>
      <w:r>
        <w:rPr>
          <w:rFonts w:ascii="Times New Roman" w:cs="Times New Roman" w:eastAsia="Times New Roman" w:hAnsi="Times New Roman"/>
          <w:sz w:val="18"/>
          <w:szCs w:val="18"/>
          <w:i w:val="1"/>
          <w:iCs w:val="1"/>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Sushma Shivaswamy, as their true and lawful attorney-in-fact and agent with full power of substitution, for them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they might or could do in person, hereby ratifying and confirming all that said attorney-in-fact, proxy and agent, or their substitute, may lawfully do or cause to be done by virtue hereof.</w:t>
      </w:r>
    </w:p>
    <w:p>
      <w:pPr>
        <w:spacing w:after="0" w:line="189"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Sushma Shivaswamy</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Sushma Shivaswamy</w:t>
            </w:r>
          </w:p>
        </w:tc>
        <w:tc>
          <w:tcPr>
            <w:tcW w:w="44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Angela Hu</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Finance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Hu</w:t>
            </w:r>
          </w:p>
        </w:tc>
        <w:tc>
          <w:tcPr>
            <w:tcW w:w="440" w:type="dxa"/>
            <w:vAlign w:val="bottom"/>
          </w:tcPr>
          <w:p>
            <w:pPr>
              <w:spacing w:after="0"/>
              <w:rPr>
                <w:sz w:val="19"/>
                <w:szCs w:val="19"/>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Simard</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191"/>
        </w:trPr>
        <w:tc>
          <w:tcPr>
            <w:tcW w:w="3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John Simard</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3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Kuendig</w:t>
            </w:r>
          </w:p>
        </w:tc>
        <w:tc>
          <w:tcPr>
            <w:tcW w:w="44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Kuendig</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Craig Rademaker</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Rademaker</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Tevi Tory</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Tevi Tory</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Soffer</w:t>
            </w:r>
          </w:p>
        </w:tc>
        <w:tc>
          <w:tcPr>
            <w:tcW w:w="44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2026</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Soffer</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52"/>
        </w:trPr>
        <w:tc>
          <w:tcPr>
            <w:tcW w:w="7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68"/>
        </w:trPr>
        <w:tc>
          <w:tcPr>
            <w:tcW w:w="760" w:type="dxa"/>
            <w:vAlign w:val="bottom"/>
            <w:shd w:val="clear" w:color="auto" w:fill="000000"/>
          </w:tcPr>
          <w:p>
            <w:pPr>
              <w:spacing w:after="0"/>
              <w:rPr>
                <w:sz w:val="5"/>
                <w:szCs w:val="5"/>
                <w:color w:val="auto"/>
              </w:rPr>
            </w:pPr>
          </w:p>
        </w:tc>
        <w:tc>
          <w:tcPr>
            <w:tcW w:w="27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47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168275</wp:posOffset>
            </wp:positionV>
            <wp:extent cx="214312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2143125" cy="3003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36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Barristers &amp; Solicitors / Patent &amp; Trade-mark Agents</w:t>
            </w:r>
          </w:p>
        </w:tc>
        <w:tc>
          <w:tcPr>
            <w:tcW w:w="0" w:type="dxa"/>
            <w:vAlign w:val="bottom"/>
          </w:tcPr>
          <w:p>
            <w:pPr>
              <w:spacing w:after="0"/>
              <w:rPr>
                <w:sz w:val="1"/>
                <w:szCs w:val="1"/>
                <w:color w:val="auto"/>
              </w:rPr>
            </w:pPr>
          </w:p>
        </w:tc>
      </w:tr>
      <w:tr>
        <w:trPr>
          <w:trHeight w:val="448"/>
        </w:trPr>
        <w:tc>
          <w:tcPr>
            <w:tcW w:w="5000" w:type="dxa"/>
            <w:vAlign w:val="bottom"/>
          </w:tcPr>
          <w:p>
            <w:pPr>
              <w:spacing w:after="0"/>
              <w:rPr>
                <w:sz w:val="24"/>
                <w:szCs w:val="24"/>
                <w:color w:val="auto"/>
              </w:rPr>
            </w:pP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Norton Rose Fulbright Canada LLP</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222 Bay Street, Suite 3000, P.O. Box 53</w:t>
            </w:r>
          </w:p>
        </w:tc>
        <w:tc>
          <w:tcPr>
            <w:tcW w:w="0" w:type="dxa"/>
            <w:vAlign w:val="bottom"/>
          </w:tcPr>
          <w:p>
            <w:pPr>
              <w:spacing w:after="0"/>
              <w:rPr>
                <w:sz w:val="1"/>
                <w:szCs w:val="1"/>
                <w:color w:val="auto"/>
              </w:rPr>
            </w:pPr>
          </w:p>
        </w:tc>
      </w:tr>
      <w:tr>
        <w:trPr>
          <w:trHeight w:val="234"/>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XBiotech Inc.</w:t>
            </w: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Toronto, Ontario M5K 1E7 CANADA</w:t>
            </w:r>
          </w:p>
        </w:tc>
        <w:tc>
          <w:tcPr>
            <w:tcW w:w="0" w:type="dxa"/>
            <w:vAlign w:val="bottom"/>
          </w:tcPr>
          <w:p>
            <w:pPr>
              <w:spacing w:after="0"/>
              <w:rPr>
                <w:sz w:val="1"/>
                <w:szCs w:val="1"/>
                <w:color w:val="auto"/>
              </w:rPr>
            </w:pPr>
          </w:p>
        </w:tc>
      </w:tr>
      <w:tr>
        <w:trPr>
          <w:trHeight w:val="198"/>
        </w:trPr>
        <w:tc>
          <w:tcPr>
            <w:tcW w:w="500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5217 Winnebago Lane</w:t>
            </w: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 +1 416.216.3930</w:t>
            </w:r>
          </w:p>
        </w:tc>
        <w:tc>
          <w:tcPr>
            <w:tcW w:w="0" w:type="dxa"/>
            <w:vAlign w:val="bottom"/>
          </w:tcPr>
          <w:p>
            <w:pPr>
              <w:spacing w:after="0"/>
              <w:rPr>
                <w:sz w:val="1"/>
                <w:szCs w:val="1"/>
                <w:color w:val="auto"/>
              </w:rPr>
            </w:pPr>
          </w:p>
        </w:tc>
      </w:tr>
      <w:tr>
        <w:trPr>
          <w:trHeight w:val="22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36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ED2A23"/>
              </w:rPr>
              <w:t>nortonrosefulbright.com</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USA 78744</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 Registration Statement of XBiotech Inc. on Form S-8</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Dear Sirs/Mesdames:</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acted as Canadian counsel to XBiotech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incorporated under the laws of the province of British Columbia, in connection with the registration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pursuant to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on or about the date hereof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of up to an aggregate of 3,000,000 common shares in the capital of the Corporation, no par value (the </w:t>
      </w:r>
      <w:r>
        <w:rPr>
          <w:rFonts w:ascii="Times New Roman" w:cs="Times New Roman" w:eastAsia="Times New Roman" w:hAnsi="Times New Roman"/>
          <w:sz w:val="18"/>
          <w:szCs w:val="18"/>
          <w:b w:val="1"/>
          <w:bCs w:val="1"/>
          <w:color w:val="auto"/>
        </w:rPr>
        <w:t>2025 Plan Shares</w:t>
      </w:r>
      <w:r>
        <w:rPr>
          <w:rFonts w:ascii="Times New Roman" w:cs="Times New Roman" w:eastAsia="Times New Roman" w:hAnsi="Times New Roman"/>
          <w:sz w:val="18"/>
          <w:szCs w:val="18"/>
          <w:color w:val="auto"/>
        </w:rPr>
        <w:t xml:space="preserve">), which are issuable by the Corporation pursuant to the Corporation’s 2025 Equity Incentive Plan (the </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 xml:space="preserve">); and (ii) an aggregate of 5,382,681 common shares in the capital of the Corporation, no par value (the </w:t>
      </w:r>
      <w:r>
        <w:rPr>
          <w:rFonts w:ascii="Times New Roman" w:cs="Times New Roman" w:eastAsia="Times New Roman" w:hAnsi="Times New Roman"/>
          <w:sz w:val="18"/>
          <w:szCs w:val="18"/>
          <w:b w:val="1"/>
          <w:bCs w:val="1"/>
          <w:color w:val="auto"/>
        </w:rPr>
        <w:t>Prior Plan Shares</w:t>
      </w:r>
      <w:r>
        <w:rPr>
          <w:rFonts w:ascii="Times New Roman" w:cs="Times New Roman" w:eastAsia="Times New Roman" w:hAnsi="Times New Roman"/>
          <w:sz w:val="18"/>
          <w:szCs w:val="18"/>
          <w:color w:val="auto"/>
        </w:rPr>
        <w:t xml:space="preserve">, together with the 2025 Plan Shares,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xml:space="preserve">), which are issuable by the Corporation pursuant to stock awards granted under the Corporation’s 2015 Equity Incentive Plan, as amended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that are (i) are not issued because such stock award or any portion thereof expires or otherwise terminates without all of the shares covered by such stock award having been issued, (ii) are not issued because such stock award or any portion thereof is settled in cash, (iii) are forfeited back to or repurchased by the Corporation because of the failure to meet a contingency or condition required for the vesting of such Prior Plan Shares, or (iv) are withheld or used to pay the exercise price of a stock award or to satisfy the tax withholding obligations related to a stock award.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counsel, we have made such investigations and examined the originals, or duplicate, certified, conformed, telecopied or photostatic copies of such corporate records, agreements, documents and other instruments and have made such other investigations as we have considered necessary or relevant for the purposes of this opinion, including: (i) the Registration Statement; (ii) the 2015 Plan; (iii) 2025 Plan; (iv) the articles, as amended, and the notice of articles of the Corporation; (v) certain resolutions of the Corporation’s board of directors; (vi) certain resolutions of the Corporation’s shareholders; and (vii) a Certificate of Good Standing dated March 9,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accuracy of factual matters material to this opinion, we have relied upon certificates or comparable documents and representations of public officials and of officers of the Corporation and have not performed any independent check or verification of such factual matters.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giving this opinion, we have assumed the genuineness of all signatures, the legal capacity of natural persons, the authenticity of all documents submitted to us as originals, the conformity to authentic original documents of all documents submitted to us as duplicates, certified, conformed, telecopied or photostatic copies and the authenticity of the originals of such latter documents, and that all facts set forth in the certificates supplied by officers of the Corporation are complete, true and accurate as of the date hereof. We have also assumed that the Certificate of Good Standing referred to above will continue to be accurate as at the date of issuance of any Plan Shares under the Registration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 set forth below is limited to the laws of the province of British Columbia and the federal laws of Canada applicable therein, in each case in effect on the date hereof, and we express no opinion as to the laws of any other jurisdiction. Our opinion is rendered as of the date hereof, and we assume no obligation to advise you of changes in law or fact (or the effect thereof on the opinions expressed herein) that hereafter may come to our attention.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The opinion set forth below is subject to the following exceptions, limitations and qualifications: (i) the effect of bankruptcy, insolvency, reorganization, arrangement, moratorium, fraudulent conveyance, fraudulent transfer and other similar laws relating to or affecting the rights of creditors; (ii) the effect of general principles of equity (including, without limitation, concepts of materiality, reasonableness, good faith and fair dealing and the possible unavailability of specific performance, injunctive relief and other equitable remedies), regardless of whether considered in a proceeding at law or in equity;</w:t>
      </w:r>
    </w:p>
    <w:p>
      <w:pPr>
        <w:spacing w:after="0" w:line="3" w:lineRule="exact"/>
        <w:rPr>
          <w:sz w:val="20"/>
          <w:szCs w:val="20"/>
          <w:color w:val="auto"/>
        </w:rPr>
      </w:pPr>
    </w:p>
    <w:p>
      <w:pPr>
        <w:jc w:val="both"/>
        <w:ind w:firstLine="8"/>
        <w:spacing w:after="0" w:line="253" w:lineRule="auto"/>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 of public policy considerations that may limit the rights of the parties to obtain further remedies; (iv) we express no opinion as to whether the Registration Statement contains full, true and plain disclosure of all material facts relating to the Plan or the Plan Shares issuable thereunder or any other matters for the purposes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 and (v) where our opinion below refers to the Plan Shares as being “fully paid and non-assessable,” such opinion assumes that all required consideration (in whatever form) has been or will be paid or provided, and we express no opinion with respect to the adequacy of any consideration received.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assumptions, limitations and qualifications set forth herein, we are of the opinion that upon issuance and delivery of and payment for such Plan Shares in accordance with the terms and conditions of the Plan, such Plan Shares being issued by the Corporation will be outstanding as validly issued, fully paid and non-assessable shares in the share capital of the Corporation.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has been prepared for your use in connection with the Registration Statement and is expressed as of the date hereof, based on the laws and facts existing on the date hereof. Our opinion is expressly limited to the matters set forth above and we render no opinion, whether by implication or otherwise, as to any other matters relating to the Corporation, the Registration Statement or the Plan Shares. This opinion may not be relied upon by any person for any other purpose without our prior written consent.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 as an exhibit to the Registration Statement and to the reference of our name therein. In giving such consent, we do not thereby admit that we are in the category of persons whose consent is required under Section 7 of the Securities Act or the Rules and Regulations of the SEC promulgated thereunder.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Norton Rose Fulbright Canada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Canada LLP is a limited liability partnership established in Canada.</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Canada LLP, Norton Rose Fulbright LLP, Norton Rose Fulbright Australia, Norton Rose Fulbright South Africa Inc and Norton Rose Fulbright US LLP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left="99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 S-8) pertaining to the 2025 Equity Incentive Plan of XBiotech Inc. and subsidiaries of our report dated March 18, 2025, with respect to the consolidated financial statements of XBiotech Inc. and subsidiaries, included in its Annual Report (Form 10-K) for the year ended December 31, 2024,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67132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16713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040"/>
          </w:cols>
          <w:pgMar w:left="320" w:top="117" w:right="5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5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Calculation of Filing Fee Tables</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S-8</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XBiotech Inc.</w:t>
      </w:r>
    </w:p>
    <w:p>
      <w:pPr>
        <w:spacing w:after="0" w:line="10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Table 1: Newly Registered Securities</w:t>
      </w:r>
    </w:p>
    <w:p>
      <w:pPr>
        <w:spacing w:after="0" w:line="40"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shd w:val="clear" w:color="auto" w:fill="9ADAF6"/>
          </w:tcPr>
          <w:p>
            <w:pPr>
              <w:jc w:val="center"/>
              <w:spacing w:after="0" w:line="193" w:lineRule="exact"/>
              <w:rPr>
                <w:sz w:val="20"/>
                <w:szCs w:val="20"/>
                <w:color w:val="auto"/>
              </w:rPr>
            </w:pPr>
            <w:r>
              <w:rPr>
                <w:rFonts w:ascii="Arial" w:cs="Arial" w:eastAsia="Arial" w:hAnsi="Arial"/>
                <w:sz w:val="18"/>
                <w:szCs w:val="18"/>
                <w:b w:val="1"/>
                <w:bCs w:val="1"/>
                <w:color w:val="auto"/>
              </w:rPr>
              <w:t>Proposed</w:t>
            </w:r>
          </w:p>
        </w:tc>
        <w:tc>
          <w:tcPr>
            <w:tcW w:w="20" w:type="dxa"/>
            <w:vAlign w:val="bottom"/>
          </w:tcPr>
          <w:p>
            <w:pPr>
              <w:spacing w:after="0"/>
              <w:rPr>
                <w:sz w:val="16"/>
                <w:szCs w:val="16"/>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4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8"/>
                <w:szCs w:val="8"/>
                <w:color w:val="auto"/>
              </w:rPr>
            </w:pPr>
          </w:p>
        </w:tc>
        <w:tc>
          <w:tcPr>
            <w:tcW w:w="980" w:type="dxa"/>
            <w:vAlign w:val="bottom"/>
            <w:vMerge w:val="restart"/>
            <w:shd w:val="clear" w:color="auto" w:fill="9ADAF6"/>
          </w:tcPr>
          <w:p>
            <w:pPr>
              <w:ind w:left="140"/>
              <w:spacing w:after="0"/>
              <w:rPr>
                <w:sz w:val="20"/>
                <w:szCs w:val="20"/>
                <w:color w:val="auto"/>
              </w:rPr>
            </w:pPr>
            <w:r>
              <w:rPr>
                <w:rFonts w:ascii="Arial" w:cs="Arial" w:eastAsia="Arial" w:hAnsi="Arial"/>
                <w:sz w:val="18"/>
                <w:szCs w:val="18"/>
                <w:b w:val="1"/>
                <w:bCs w:val="1"/>
                <w:color w:val="auto"/>
              </w:rPr>
              <w:t>Security</w:t>
            </w:r>
          </w:p>
        </w:tc>
        <w:tc>
          <w:tcPr>
            <w:tcW w:w="4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right"/>
              <w:ind w:right="74"/>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8"/>
                <w:szCs w:val="8"/>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Maximum</w:t>
            </w:r>
          </w:p>
        </w:tc>
        <w:tc>
          <w:tcPr>
            <w:tcW w:w="20" w:type="dxa"/>
            <w:vAlign w:val="bottom"/>
          </w:tcPr>
          <w:p>
            <w:pPr>
              <w:spacing w:after="0"/>
              <w:rPr>
                <w:sz w:val="8"/>
                <w:szCs w:val="8"/>
                <w:color w:val="auto"/>
              </w:rPr>
            </w:pPr>
          </w:p>
        </w:tc>
        <w:tc>
          <w:tcPr>
            <w:tcW w:w="16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vMerge w:val="restart"/>
            <w:shd w:val="clear" w:color="auto" w:fill="9ADAF6"/>
          </w:tcPr>
          <w:p>
            <w:pPr>
              <w:jc w:val="right"/>
              <w:ind w:right="274"/>
              <w:spacing w:after="0"/>
              <w:rPr>
                <w:sz w:val="20"/>
                <w:szCs w:val="20"/>
                <w:color w:val="auto"/>
              </w:rPr>
            </w:pPr>
            <w:r>
              <w:rPr>
                <w:rFonts w:ascii="Arial" w:cs="Arial" w:eastAsia="Arial" w:hAnsi="Arial"/>
                <w:sz w:val="18"/>
                <w:szCs w:val="18"/>
                <w:b w:val="1"/>
                <w:bCs w:val="1"/>
                <w:color w:val="auto"/>
              </w:rPr>
              <w:t>Amount of</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rPr>
              <w:t>Calculation</w:t>
            </w: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rPr>
              <w:t>Fee Rate</w:t>
            </w:r>
          </w:p>
        </w:tc>
        <w:tc>
          <w:tcPr>
            <w:tcW w:w="40" w:type="dxa"/>
            <w:vAlign w:val="bottom"/>
          </w:tcPr>
          <w:p>
            <w:pPr>
              <w:spacing w:after="0"/>
              <w:rPr>
                <w:sz w:val="15"/>
                <w:szCs w:val="15"/>
                <w:color w:val="auto"/>
              </w:rPr>
            </w:pPr>
          </w:p>
        </w:tc>
        <w:tc>
          <w:tcPr>
            <w:tcW w:w="1620" w:type="dxa"/>
            <w:vAlign w:val="bottom"/>
            <w:vMerge w:val="continue"/>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0" w:type="dxa"/>
            <w:vAlign w:val="bottom"/>
            <w:tcBorders>
              <w:left w:val="single" w:sz="8" w:color="auto"/>
            </w:tcBorders>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1"/>
                <w:szCs w:val="11"/>
                <w:color w:val="auto"/>
              </w:rPr>
            </w:pPr>
          </w:p>
        </w:tc>
        <w:tc>
          <w:tcPr>
            <w:tcW w:w="980" w:type="dxa"/>
            <w:vAlign w:val="bottom"/>
            <w:shd w:val="clear" w:color="auto" w:fill="9ADAF6"/>
          </w:tcPr>
          <w:p>
            <w:pPr>
              <w:ind w:left="40"/>
              <w:spacing w:after="0" w:line="130" w:lineRule="exact"/>
              <w:rPr>
                <w:sz w:val="20"/>
                <w:szCs w:val="20"/>
                <w:color w:val="auto"/>
              </w:rPr>
            </w:pPr>
            <w:r>
              <w:rPr>
                <w:rFonts w:ascii="Arial" w:cs="Arial" w:eastAsia="Arial" w:hAnsi="Arial"/>
                <w:sz w:val="15"/>
                <w:szCs w:val="15"/>
                <w:b w:val="1"/>
                <w:bCs w:val="1"/>
                <w:color w:val="auto"/>
              </w:rPr>
              <w:t>Class Title</w:t>
            </w:r>
          </w:p>
        </w:tc>
        <w:tc>
          <w:tcPr>
            <w:tcW w:w="40" w:type="dxa"/>
            <w:vAlign w:val="bottom"/>
          </w:tcPr>
          <w:p>
            <w:pPr>
              <w:spacing w:after="0"/>
              <w:rPr>
                <w:sz w:val="11"/>
                <w:szCs w:val="11"/>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Rule</w:t>
            </w:r>
          </w:p>
        </w:tc>
        <w:tc>
          <w:tcPr>
            <w:tcW w:w="20" w:type="dxa"/>
            <w:vAlign w:val="bottom"/>
          </w:tcPr>
          <w:p>
            <w:pPr>
              <w:spacing w:after="0"/>
              <w:rPr>
                <w:sz w:val="11"/>
                <w:szCs w:val="11"/>
                <w:color w:val="auto"/>
              </w:rPr>
            </w:pPr>
          </w:p>
        </w:tc>
        <w:tc>
          <w:tcPr>
            <w:tcW w:w="1000" w:type="dxa"/>
            <w:vAlign w:val="bottom"/>
            <w:shd w:val="clear" w:color="auto" w:fill="9ADAF6"/>
          </w:tcPr>
          <w:p>
            <w:pPr>
              <w:jc w:val="right"/>
              <w:spacing w:after="0" w:line="130" w:lineRule="exact"/>
              <w:rPr>
                <w:sz w:val="20"/>
                <w:szCs w:val="20"/>
                <w:color w:val="auto"/>
              </w:rPr>
            </w:pPr>
            <w:r>
              <w:rPr>
                <w:rFonts w:ascii="Arial" w:cs="Arial" w:eastAsia="Arial" w:hAnsi="Arial"/>
                <w:sz w:val="15"/>
                <w:szCs w:val="15"/>
                <w:b w:val="1"/>
                <w:bCs w:val="1"/>
                <w:color w:val="auto"/>
              </w:rPr>
              <w:t>Registered</w:t>
            </w:r>
          </w:p>
        </w:tc>
        <w:tc>
          <w:tcPr>
            <w:tcW w:w="40" w:type="dxa"/>
            <w:vAlign w:val="bottom"/>
          </w:tcPr>
          <w:p>
            <w:pPr>
              <w:spacing w:after="0"/>
              <w:rPr>
                <w:sz w:val="11"/>
                <w:szCs w:val="11"/>
                <w:color w:val="auto"/>
              </w:rPr>
            </w:pPr>
          </w:p>
        </w:tc>
        <w:tc>
          <w:tcPr>
            <w:tcW w:w="15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Offering Price</w:t>
            </w:r>
          </w:p>
        </w:tc>
        <w:tc>
          <w:tcPr>
            <w:tcW w:w="20" w:type="dxa"/>
            <w:vAlign w:val="bottom"/>
          </w:tcPr>
          <w:p>
            <w:pPr>
              <w:spacing w:after="0"/>
              <w:rPr>
                <w:sz w:val="11"/>
                <w:szCs w:val="11"/>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Offering Price</w:t>
            </w:r>
          </w:p>
        </w:tc>
        <w:tc>
          <w:tcPr>
            <w:tcW w:w="40" w:type="dxa"/>
            <w:vAlign w:val="bottom"/>
          </w:tcPr>
          <w:p>
            <w:pPr>
              <w:spacing w:after="0"/>
              <w:rPr>
                <w:sz w:val="11"/>
                <w:szCs w:val="11"/>
                <w:color w:val="auto"/>
              </w:rPr>
            </w:pPr>
          </w:p>
        </w:tc>
        <w:tc>
          <w:tcPr>
            <w:tcW w:w="8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shd w:val="clear" w:color="auto" w:fill="9ADAF6"/>
          </w:tcPr>
          <w:p>
            <w:pPr>
              <w:jc w:val="right"/>
              <w:ind w:right="34"/>
              <w:spacing w:after="0" w:line="130" w:lineRule="exact"/>
              <w:rPr>
                <w:sz w:val="20"/>
                <w:szCs w:val="20"/>
                <w:color w:val="auto"/>
              </w:rPr>
            </w:pPr>
            <w:r>
              <w:rPr>
                <w:rFonts w:ascii="Arial" w:cs="Arial" w:eastAsia="Arial" w:hAnsi="Arial"/>
                <w:sz w:val="15"/>
                <w:szCs w:val="15"/>
                <w:b w:val="1"/>
                <w:bCs w:val="1"/>
                <w:color w:val="auto"/>
              </w:rPr>
              <w:t>Registration Fee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Per Unit</w:t>
            </w:r>
          </w:p>
        </w:tc>
        <w:tc>
          <w:tcPr>
            <w:tcW w:w="20" w:type="dxa"/>
            <w:vAlign w:val="bottom"/>
          </w:tcPr>
          <w:p>
            <w:pPr>
              <w:spacing w:after="0"/>
              <w:rPr>
                <w:sz w:val="12"/>
                <w:szCs w:val="12"/>
                <w:color w:val="auto"/>
              </w:rPr>
            </w:pPr>
          </w:p>
        </w:tc>
        <w:tc>
          <w:tcPr>
            <w:tcW w:w="1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197" w:lineRule="exact"/>
              <w:rPr>
                <w:sz w:val="20"/>
                <w:szCs w:val="20"/>
                <w:color w:val="auto"/>
              </w:rPr>
            </w:pPr>
            <w:r>
              <w:rPr>
                <w:rFonts w:ascii="Arial" w:cs="Arial" w:eastAsia="Arial" w:hAnsi="Arial"/>
                <w:sz w:val="18"/>
                <w:szCs w:val="18"/>
                <w:color w:val="auto"/>
              </w:rPr>
              <w:t>Common</w:t>
            </w:r>
          </w:p>
        </w:tc>
        <w:tc>
          <w:tcPr>
            <w:tcW w:w="4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202" w:lineRule="exact"/>
              <w:rPr>
                <w:sz w:val="20"/>
                <w:szCs w:val="20"/>
                <w:color w:val="auto"/>
              </w:rPr>
            </w:pPr>
            <w:r>
              <w:rPr>
                <w:rFonts w:ascii="Arial" w:cs="Arial" w:eastAsia="Arial" w:hAnsi="Arial"/>
                <w:sz w:val="18"/>
                <w:szCs w:val="18"/>
                <w:color w:val="auto"/>
              </w:rPr>
              <w:t>stock, no</w:t>
            </w:r>
          </w:p>
        </w:tc>
        <w:tc>
          <w:tcPr>
            <w:tcW w:w="40" w:type="dxa"/>
            <w:vAlign w:val="bottom"/>
          </w:tcPr>
          <w:p>
            <w:pPr>
              <w:spacing w:after="0"/>
              <w:rPr>
                <w:sz w:val="17"/>
                <w:szCs w:val="17"/>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7"/>
                <w:szCs w:val="17"/>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$ 2.40</w:t>
            </w:r>
          </w:p>
        </w:tc>
        <w:tc>
          <w:tcPr>
            <w:tcW w:w="20" w:type="dxa"/>
            <w:vAlign w:val="bottom"/>
          </w:tcPr>
          <w:p>
            <w:pPr>
              <w:spacing w:after="0"/>
              <w:rPr>
                <w:sz w:val="17"/>
                <w:szCs w:val="17"/>
                <w:color w:val="auto"/>
              </w:rPr>
            </w:pPr>
          </w:p>
        </w:tc>
        <w:tc>
          <w:tcPr>
            <w:tcW w:w="16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$ 7,200,000.00</w:t>
            </w:r>
          </w:p>
        </w:tc>
        <w:tc>
          <w:tcPr>
            <w:tcW w:w="40" w:type="dxa"/>
            <w:vAlign w:val="bottom"/>
          </w:tcPr>
          <w:p>
            <w:pPr>
              <w:spacing w:after="0"/>
              <w:rPr>
                <w:sz w:val="17"/>
                <w:szCs w:val="1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0.0001381</w:t>
            </w:r>
          </w:p>
        </w:tc>
        <w:tc>
          <w:tcPr>
            <w:tcW w:w="40" w:type="dxa"/>
            <w:vAlign w:val="bottom"/>
          </w:tcPr>
          <w:p>
            <w:pPr>
              <w:spacing w:after="0"/>
              <w:rPr>
                <w:sz w:val="17"/>
                <w:szCs w:val="17"/>
                <w:color w:val="auto"/>
              </w:rPr>
            </w:pPr>
          </w:p>
        </w:tc>
        <w:tc>
          <w:tcPr>
            <w:tcW w:w="16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$ 994.32</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1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shd w:val="clear" w:color="auto" w:fill="E7E7E2"/>
          </w:tcPr>
          <w:p>
            <w:pPr>
              <w:ind w:left="20"/>
              <w:spacing w:after="0" w:line="202" w:lineRule="exact"/>
              <w:rPr>
                <w:sz w:val="20"/>
                <w:szCs w:val="20"/>
                <w:color w:val="auto"/>
              </w:rPr>
            </w:pPr>
            <w:r>
              <w:rPr>
                <w:rFonts w:ascii="Arial" w:cs="Arial" w:eastAsia="Arial" w:hAnsi="Arial"/>
                <w:sz w:val="18"/>
                <w:szCs w:val="18"/>
                <w:color w:val="auto"/>
              </w:rPr>
              <w:t>par value</w:t>
            </w:r>
          </w:p>
        </w:tc>
        <w:tc>
          <w:tcPr>
            <w:tcW w:w="4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8"/>
                <w:szCs w:val="18"/>
                <w:color w:val="auto"/>
              </w:rPr>
              <w:t>per share</w:t>
            </w:r>
          </w:p>
        </w:tc>
        <w:tc>
          <w:tcPr>
            <w:tcW w:w="4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197" w:lineRule="exact"/>
              <w:rPr>
                <w:sz w:val="20"/>
                <w:szCs w:val="20"/>
                <w:color w:val="auto"/>
              </w:rPr>
            </w:pPr>
            <w:r>
              <w:rPr>
                <w:rFonts w:ascii="Arial" w:cs="Arial" w:eastAsia="Arial" w:hAnsi="Arial"/>
                <w:sz w:val="18"/>
                <w:szCs w:val="18"/>
                <w:color w:val="auto"/>
              </w:rPr>
              <w:t>Common</w:t>
            </w:r>
          </w:p>
        </w:tc>
        <w:tc>
          <w:tcPr>
            <w:tcW w:w="4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line="202" w:lineRule="exact"/>
              <w:rPr>
                <w:sz w:val="20"/>
                <w:szCs w:val="20"/>
                <w:color w:val="auto"/>
              </w:rPr>
            </w:pPr>
            <w:r>
              <w:rPr>
                <w:rFonts w:ascii="Arial" w:cs="Arial" w:eastAsia="Arial" w:hAnsi="Arial"/>
                <w:sz w:val="18"/>
                <w:szCs w:val="18"/>
                <w:color w:val="auto"/>
              </w:rPr>
              <w:t>stock, no</w:t>
            </w:r>
          </w:p>
        </w:tc>
        <w:tc>
          <w:tcPr>
            <w:tcW w:w="40" w:type="dxa"/>
            <w:vAlign w:val="bottom"/>
          </w:tcPr>
          <w:p>
            <w:pPr>
              <w:spacing w:after="0"/>
              <w:rPr>
                <w:sz w:val="17"/>
                <w:szCs w:val="17"/>
                <w:color w:val="auto"/>
              </w:rPr>
            </w:pPr>
          </w:p>
        </w:tc>
        <w:tc>
          <w:tcPr>
            <w:tcW w:w="102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5,382,681</w:t>
            </w:r>
          </w:p>
        </w:tc>
        <w:tc>
          <w:tcPr>
            <w:tcW w:w="40" w:type="dxa"/>
            <w:vAlign w:val="bottom"/>
          </w:tcPr>
          <w:p>
            <w:pPr>
              <w:spacing w:after="0"/>
              <w:rPr>
                <w:sz w:val="17"/>
                <w:szCs w:val="17"/>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$ 2.40</w:t>
            </w:r>
          </w:p>
        </w:tc>
        <w:tc>
          <w:tcPr>
            <w:tcW w:w="20" w:type="dxa"/>
            <w:vAlign w:val="bottom"/>
          </w:tcPr>
          <w:p>
            <w:pPr>
              <w:spacing w:after="0"/>
              <w:rPr>
                <w:sz w:val="17"/>
                <w:szCs w:val="17"/>
                <w:color w:val="auto"/>
              </w:rPr>
            </w:pPr>
          </w:p>
        </w:tc>
        <w:tc>
          <w:tcPr>
            <w:tcW w:w="160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$ 12,918,434.40</w:t>
            </w:r>
          </w:p>
        </w:tc>
        <w:tc>
          <w:tcPr>
            <w:tcW w:w="40" w:type="dxa"/>
            <w:vAlign w:val="bottom"/>
          </w:tcPr>
          <w:p>
            <w:pPr>
              <w:spacing w:after="0"/>
              <w:rPr>
                <w:sz w:val="17"/>
                <w:szCs w:val="1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rPr>
              <w:t>0.0001381</w:t>
            </w:r>
          </w:p>
        </w:tc>
        <w:tc>
          <w:tcPr>
            <w:tcW w:w="40" w:type="dxa"/>
            <w:vAlign w:val="bottom"/>
          </w:tcPr>
          <w:p>
            <w:pPr>
              <w:spacing w:after="0"/>
              <w:rPr>
                <w:sz w:val="17"/>
                <w:szCs w:val="17"/>
                <w:color w:val="auto"/>
              </w:rPr>
            </w:pPr>
          </w:p>
        </w:tc>
        <w:tc>
          <w:tcPr>
            <w:tcW w:w="16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$ 1,784.04</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1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shd w:val="clear" w:color="auto" w:fill="E7E7E2"/>
          </w:tcPr>
          <w:p>
            <w:pPr>
              <w:ind w:left="20"/>
              <w:spacing w:after="0" w:line="202" w:lineRule="exact"/>
              <w:rPr>
                <w:sz w:val="20"/>
                <w:szCs w:val="20"/>
                <w:color w:val="auto"/>
              </w:rPr>
            </w:pPr>
            <w:r>
              <w:rPr>
                <w:rFonts w:ascii="Arial" w:cs="Arial" w:eastAsia="Arial" w:hAnsi="Arial"/>
                <w:sz w:val="18"/>
                <w:szCs w:val="18"/>
                <w:color w:val="auto"/>
              </w:rPr>
              <w:t>par value</w:t>
            </w:r>
          </w:p>
        </w:tc>
        <w:tc>
          <w:tcPr>
            <w:tcW w:w="40" w:type="dxa"/>
            <w:vAlign w:val="bottom"/>
          </w:tcPr>
          <w:p>
            <w:pPr>
              <w:spacing w:after="0"/>
              <w:rPr>
                <w:sz w:val="11"/>
                <w:szCs w:val="11"/>
                <w:color w:val="auto"/>
              </w:rPr>
            </w:pPr>
          </w:p>
        </w:tc>
        <w:tc>
          <w:tcPr>
            <w:tcW w:w="10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Borders>
              <w:left w:val="single" w:sz="8" w:color="auto"/>
            </w:tcBorders>
          </w:tcPr>
          <w:p>
            <w:pPr>
              <w:spacing w:after="0"/>
              <w:rPr>
                <w:sz w:val="6"/>
                <w:szCs w:val="6"/>
                <w:color w:val="auto"/>
              </w:rPr>
            </w:pPr>
          </w:p>
        </w:tc>
        <w:tc>
          <w:tcPr>
            <w:tcW w:w="1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6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shd w:val="clear" w:color="auto" w:fill="E7E7E2"/>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8"/>
                <w:szCs w:val="18"/>
                <w:color w:val="auto"/>
              </w:rPr>
              <w:t>per share</w:t>
            </w:r>
          </w:p>
        </w:tc>
        <w:tc>
          <w:tcPr>
            <w:tcW w:w="4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$ 20,118,434.40</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$ 2,778.36</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Total Fee Offsets:</w:t>
            </w: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$ 2,778.36</w:t>
            </w: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Offering Note</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1</w:t>
      </w:r>
    </w:p>
    <w:p>
      <w:pPr>
        <w:spacing w:after="0" w:line="47" w:lineRule="exact"/>
        <w:rPr>
          <w:sz w:val="20"/>
          <w:szCs w:val="20"/>
          <w:color w:val="auto"/>
        </w:rPr>
      </w:pPr>
    </w:p>
    <w:p>
      <w:pPr>
        <w:ind w:left="840" w:right="920"/>
        <w:spacing w:after="0" w:line="253" w:lineRule="auto"/>
        <w:rPr>
          <w:sz w:val="20"/>
          <w:szCs w:val="20"/>
          <w:color w:val="auto"/>
        </w:rPr>
      </w:pPr>
      <w:r>
        <w:rPr>
          <w:rFonts w:ascii="Arial" w:cs="Arial" w:eastAsia="Arial" w:hAnsi="Arial"/>
          <w:sz w:val="18"/>
          <w:szCs w:val="18"/>
          <w:color w:val="auto"/>
        </w:rPr>
        <w:t>Amount registered represents shares of the Registrant's common stock, no par value per share ("Common Stock"), reserved for issuance under the XBiotech Inc. 2025 Equity Incentive Plan (the "Plan") or underlying outstanding awards granted pursuant to the Plan.</w:t>
      </w:r>
    </w:p>
    <w:p>
      <w:pPr>
        <w:spacing w:after="0" w:line="155" w:lineRule="exact"/>
        <w:rPr>
          <w:sz w:val="20"/>
          <w:szCs w:val="20"/>
          <w:color w:val="auto"/>
        </w:rPr>
      </w:pPr>
    </w:p>
    <w:p>
      <w:pPr>
        <w:ind w:left="840" w:right="640"/>
        <w:spacing w:after="0" w:line="244" w:lineRule="auto"/>
        <w:rPr>
          <w:sz w:val="20"/>
          <w:szCs w:val="20"/>
          <w:color w:val="auto"/>
        </w:rPr>
      </w:pPr>
      <w:r>
        <w:rPr>
          <w:rFonts w:ascii="Arial" w:cs="Arial" w:eastAsia="Arial" w:hAnsi="Arial"/>
          <w:sz w:val="18"/>
          <w:szCs w:val="18"/>
          <w:color w:val="auto"/>
        </w:rPr>
        <w:t>Pursuant to Rule 416(a) under the Securities Act of 1933, as amended (the "Securities Act"), this Registration Statement also covers any additional shares of Common Stock that may become issuable under the Plan by the Registrant by reason of certain corporate transactions or events, including any stock dividend, stock split, recapitalization or any other similar transaction effected without the receipt of consideration which results in an increase in the number of the Registrant's outstanding shares of common stock.</w:t>
      </w:r>
    </w:p>
    <w:p>
      <w:pPr>
        <w:spacing w:after="0" w:line="163" w:lineRule="exact"/>
        <w:rPr>
          <w:sz w:val="20"/>
          <w:szCs w:val="20"/>
          <w:color w:val="auto"/>
        </w:rPr>
      </w:pPr>
    </w:p>
    <w:p>
      <w:pPr>
        <w:ind w:left="840" w:right="660"/>
        <w:spacing w:after="0" w:line="253" w:lineRule="auto"/>
        <w:rPr>
          <w:sz w:val="20"/>
          <w:szCs w:val="20"/>
          <w:color w:val="auto"/>
        </w:rPr>
      </w:pPr>
      <w:r>
        <w:rPr>
          <w:rFonts w:ascii="Arial" w:cs="Arial" w:eastAsia="Arial" w:hAnsi="Arial"/>
          <w:sz w:val="18"/>
          <w:szCs w:val="18"/>
          <w:color w:val="auto"/>
        </w:rPr>
        <w:t>The proposed maximum offering price per unit is estimated in accordance with Rules 457(c) and (h) of the Securities Act solely for the purpose of calculating the registration fee based on the average of the high and low prices of the Registrant's common stock as reported on the Nasdaq Stock Market on February 12th, 2026.</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90805</wp:posOffset>
            </wp:positionV>
            <wp:extent cx="638619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6386195" cy="42545"/>
                    </a:xfrm>
                    <a:prstGeom prst="rect">
                      <a:avLst/>
                    </a:prstGeom>
                    <a:noFill/>
                  </pic:spPr>
                </pic:pic>
              </a:graphicData>
            </a:graphic>
          </wp:anchor>
        </w:drawing>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2</w:t>
      </w:r>
    </w:p>
    <w:p>
      <w:pPr>
        <w:spacing w:after="0" w:line="47" w:lineRule="exact"/>
        <w:rPr>
          <w:sz w:val="20"/>
          <w:szCs w:val="20"/>
          <w:color w:val="auto"/>
        </w:rPr>
      </w:pPr>
    </w:p>
    <w:p>
      <w:pPr>
        <w:ind w:left="840" w:right="780"/>
        <w:spacing w:after="0" w:line="253" w:lineRule="auto"/>
        <w:rPr>
          <w:sz w:val="20"/>
          <w:szCs w:val="20"/>
          <w:color w:val="auto"/>
        </w:rPr>
      </w:pPr>
      <w:r>
        <w:rPr>
          <w:rFonts w:ascii="Arial" w:cs="Arial" w:eastAsia="Arial" w:hAnsi="Arial"/>
          <w:sz w:val="18"/>
          <w:szCs w:val="18"/>
          <w:color w:val="auto"/>
        </w:rPr>
        <w:t>Amount registered represents shares of Common Stock that may become available for issuance under the Plan upon the forfeiture, cancelation or expiration of outstanding stock options granted under the XBiotech Inc. 2015 Equity Incentive Plan, as amended.</w:t>
      </w:r>
    </w:p>
    <w:p>
      <w:pPr>
        <w:spacing w:after="0" w:line="155" w:lineRule="exact"/>
        <w:rPr>
          <w:sz w:val="20"/>
          <w:szCs w:val="20"/>
          <w:color w:val="auto"/>
        </w:rPr>
      </w:pPr>
    </w:p>
    <w:p>
      <w:pPr>
        <w:ind w:left="840" w:right="620"/>
        <w:spacing w:after="0" w:line="247" w:lineRule="auto"/>
        <w:rPr>
          <w:sz w:val="20"/>
          <w:szCs w:val="20"/>
          <w:color w:val="auto"/>
        </w:rPr>
      </w:pPr>
      <w:r>
        <w:rPr>
          <w:rFonts w:ascii="Arial" w:cs="Arial" w:eastAsia="Arial" w:hAnsi="Arial"/>
          <w:sz w:val="18"/>
          <w:szCs w:val="18"/>
          <w:color w:val="auto"/>
        </w:rPr>
        <w:t>Pursuant to Rule 416(a) under the Securities Act, this Registration Statement also covers any additional shares of Common Stock that may become issuable under the Plan by the Registrant by reason of certain corporate transactions or events, including any stock dividend, stock split, recapitalization or any other similar transaction effected without the receipt of consideration which results in an increase in the number of the Registrant's outstanding shares of common stock.</w:t>
      </w:r>
    </w:p>
    <w:p>
      <w:pPr>
        <w:spacing w:after="0" w:line="160" w:lineRule="exact"/>
        <w:rPr>
          <w:sz w:val="20"/>
          <w:szCs w:val="20"/>
          <w:color w:val="auto"/>
        </w:rPr>
      </w:pPr>
    </w:p>
    <w:p>
      <w:pPr>
        <w:ind w:left="840" w:right="660"/>
        <w:spacing w:after="0" w:line="253" w:lineRule="auto"/>
        <w:rPr>
          <w:sz w:val="20"/>
          <w:szCs w:val="20"/>
          <w:color w:val="auto"/>
        </w:rPr>
      </w:pPr>
      <w:r>
        <w:rPr>
          <w:rFonts w:ascii="Arial" w:cs="Arial" w:eastAsia="Arial" w:hAnsi="Arial"/>
          <w:sz w:val="18"/>
          <w:szCs w:val="18"/>
          <w:color w:val="auto"/>
        </w:rPr>
        <w:t>The proposed maximum offering price per unit is estimated in accordance with Rules 457(c) and (h) of the Securities Act solely for the purpose of calculating the registration fee based on the average of the high and low prices of the Registrant's common stock as reported on the Nasdaq Stock Market on February 12th, 2026.</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90805</wp:posOffset>
            </wp:positionV>
            <wp:extent cx="638619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6386195"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36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80"/>
              <w:spacing w:after="0" w:line="207" w:lineRule="exact"/>
              <w:rPr>
                <w:sz w:val="20"/>
                <w:szCs w:val="20"/>
                <w:color w:val="auto"/>
              </w:rPr>
            </w:pPr>
            <w:r>
              <w:rPr>
                <w:rFonts w:ascii="MS PGothic" w:cs="MS PGothic" w:eastAsia="MS PGothic" w:hAnsi="MS PGothic"/>
                <w:sz w:val="18"/>
                <w:szCs w:val="18"/>
                <w:color w:val="auto"/>
                <w:highlight w:val="black"/>
                <w:w w:val="98"/>
              </w:rPr>
              <w:t>☑</w:t>
            </w:r>
            <w:r>
              <w:rPr>
                <w:rFonts w:ascii="Arial" w:cs="Arial" w:eastAsia="Arial" w:hAnsi="Arial"/>
                <w:sz w:val="18"/>
                <w:szCs w:val="18"/>
                <w:b w:val="1"/>
                <w:bCs w:val="1"/>
                <w:color w:val="auto"/>
                <w:w w:val="98"/>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197"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Security</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8"/>
              </w:rPr>
              <w:t>Security</w:t>
            </w:r>
          </w:p>
        </w:tc>
        <w:tc>
          <w:tcPr>
            <w:tcW w:w="4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Unsold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8"/>
              </w:rPr>
              <w:t>Aggregate</w:t>
            </w:r>
          </w:p>
        </w:tc>
        <w:tc>
          <w:tcPr>
            <w:tcW w:w="20" w:type="dxa"/>
            <w:vAlign w:val="bottom"/>
          </w:tcPr>
          <w:p>
            <w:pPr>
              <w:spacing w:after="0"/>
              <w:rPr>
                <w:sz w:val="17"/>
                <w:szCs w:val="17"/>
                <w:color w:val="auto"/>
              </w:rPr>
            </w:pPr>
          </w:p>
        </w:tc>
        <w:tc>
          <w:tcPr>
            <w:tcW w:w="66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6"/>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Form</w:t>
            </w: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shd w:val="clear" w:color="auto" w:fill="9ADAF6"/>
          </w:tcPr>
          <w:p>
            <w:pPr>
              <w:jc w:val="right"/>
              <w:ind w:right="130"/>
              <w:spacing w:after="0"/>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7"/>
              </w:rPr>
              <w:t>Title</w:t>
            </w:r>
          </w:p>
        </w:tc>
        <w:tc>
          <w:tcPr>
            <w:tcW w:w="4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66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Registrant or</w:t>
            </w:r>
          </w:p>
        </w:tc>
        <w:tc>
          <w:tcPr>
            <w:tcW w:w="40" w:type="dxa"/>
            <w:vAlign w:val="bottom"/>
          </w:tcPr>
          <w:p>
            <w:pPr>
              <w:spacing w:after="0"/>
              <w:rPr>
                <w:sz w:val="8"/>
                <w:szCs w:val="8"/>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or</w:t>
            </w:r>
          </w:p>
        </w:tc>
        <w:tc>
          <w:tcPr>
            <w:tcW w:w="4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8"/>
                <w:szCs w:val="8"/>
                <w:color w:val="auto"/>
              </w:rPr>
            </w:pPr>
          </w:p>
        </w:tc>
        <w:tc>
          <w:tcPr>
            <w:tcW w:w="6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4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line="181"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right"/>
              <w:ind w:right="30"/>
              <w:spacing w:after="0" w:line="181" w:lineRule="exact"/>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Filer Name</w:t>
            </w:r>
          </w:p>
        </w:tc>
        <w:tc>
          <w:tcPr>
            <w:tcW w:w="40" w:type="dxa"/>
            <w:vAlign w:val="bottom"/>
          </w:tcPr>
          <w:p>
            <w:pPr>
              <w:spacing w:after="0"/>
              <w:rPr>
                <w:sz w:val="17"/>
                <w:szCs w:val="17"/>
                <w:color w:val="auto"/>
              </w:rPr>
            </w:pPr>
          </w:p>
        </w:tc>
        <w:tc>
          <w:tcPr>
            <w:tcW w:w="58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Filing</w:t>
            </w:r>
          </w:p>
        </w:tc>
        <w:tc>
          <w:tcPr>
            <w:tcW w:w="40" w:type="dxa"/>
            <w:vAlign w:val="bottom"/>
          </w:tcPr>
          <w:p>
            <w:pPr>
              <w:spacing w:after="0"/>
              <w:rPr>
                <w:sz w:val="17"/>
                <w:szCs w:val="17"/>
                <w:color w:val="auto"/>
              </w:rPr>
            </w:pPr>
          </w:p>
        </w:tc>
        <w:tc>
          <w:tcPr>
            <w:tcW w:w="74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7"/>
                <w:szCs w:val="17"/>
                <w:color w:val="auto"/>
              </w:rPr>
            </w:pPr>
          </w:p>
        </w:tc>
        <w:tc>
          <w:tcPr>
            <w:tcW w:w="740" w:type="dxa"/>
            <w:vAlign w:val="bottom"/>
            <w:shd w:val="clear" w:color="auto" w:fill="9ADAF6"/>
          </w:tcPr>
          <w:p>
            <w:pPr>
              <w:jc w:val="right"/>
              <w:spacing w:after="0" w:line="202"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4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Associated</w:t>
            </w:r>
          </w:p>
        </w:tc>
        <w:tc>
          <w:tcPr>
            <w:tcW w:w="20" w:type="dxa"/>
            <w:vAlign w:val="bottom"/>
          </w:tcPr>
          <w:p>
            <w:pPr>
              <w:spacing w:after="0"/>
              <w:rPr>
                <w:sz w:val="17"/>
                <w:szCs w:val="17"/>
                <w:color w:val="auto"/>
              </w:rPr>
            </w:pPr>
          </w:p>
        </w:tc>
        <w:tc>
          <w:tcPr>
            <w:tcW w:w="66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6"/>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40" w:type="dxa"/>
            <w:vAlign w:val="bottom"/>
            <w:tcBorders>
              <w:left w:val="single" w:sz="8" w:color="auto"/>
            </w:tcBorders>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Type</w:t>
            </w:r>
          </w:p>
        </w:tc>
        <w:tc>
          <w:tcPr>
            <w:tcW w:w="40" w:type="dxa"/>
            <w:vAlign w:val="bottom"/>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0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40" w:type="dxa"/>
            <w:vAlign w:val="bottom"/>
          </w:tcPr>
          <w:p>
            <w:pPr>
              <w:spacing w:after="0"/>
              <w:rPr>
                <w:sz w:val="11"/>
                <w:szCs w:val="11"/>
                <w:color w:val="auto"/>
              </w:rPr>
            </w:pPr>
          </w:p>
        </w:tc>
        <w:tc>
          <w:tcPr>
            <w:tcW w:w="10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00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1"/>
                <w:szCs w:val="11"/>
                <w:color w:val="auto"/>
              </w:rPr>
            </w:pPr>
          </w:p>
        </w:tc>
        <w:tc>
          <w:tcPr>
            <w:tcW w:w="6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Claimed</w:t>
            </w:r>
          </w:p>
        </w:tc>
        <w:tc>
          <w:tcPr>
            <w:tcW w:w="4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100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7"/>
                <w:szCs w:val="17"/>
                <w:color w:val="auto"/>
              </w:rPr>
            </w:pPr>
          </w:p>
        </w:tc>
        <w:tc>
          <w:tcPr>
            <w:tcW w:w="660" w:type="dxa"/>
            <w:vAlign w:val="bottom"/>
            <w:shd w:val="clear" w:color="auto" w:fill="9ADAF6"/>
          </w:tcPr>
          <w:p>
            <w:pPr>
              <w:jc w:val="center"/>
              <w:spacing w:after="0" w:line="202" w:lineRule="exact"/>
              <w:rPr>
                <w:sz w:val="20"/>
                <w:szCs w:val="20"/>
                <w:color w:val="auto"/>
              </w:rPr>
            </w:pPr>
            <w:r>
              <w:rPr>
                <w:rFonts w:ascii="Arial" w:cs="Arial" w:eastAsia="Arial" w:hAnsi="Arial"/>
                <w:sz w:val="18"/>
                <w:szCs w:val="18"/>
                <w:b w:val="1"/>
                <w:bCs w:val="1"/>
                <w:color w:val="auto"/>
              </w:rPr>
              <w:t>Source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9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20"/>
                <w:szCs w:val="20"/>
                <w:color w:val="auto"/>
              </w:rPr>
            </w:pPr>
          </w:p>
        </w:tc>
        <w:tc>
          <w:tcPr>
            <w:tcW w:w="660" w:type="dxa"/>
            <w:vAlign w:val="bottom"/>
            <w:shd w:val="clear" w:color="auto" w:fill="9ADAF6"/>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 w:type="dxa"/>
            <w:vAlign w:val="bottom"/>
            <w:tcBorders>
              <w:lef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Rule 457(p)</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E7E7E2"/>
          </w:tcPr>
          <w:p>
            <w:pPr>
              <w:ind w:left="20"/>
              <w:spacing w:after="0" w:line="205"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7"/>
                <w:szCs w:val="17"/>
                <w:color w:val="auto"/>
              </w:rPr>
            </w:pPr>
          </w:p>
        </w:tc>
        <w:tc>
          <w:tcPr>
            <w:tcW w:w="640" w:type="dxa"/>
            <w:vAlign w:val="bottom"/>
            <w:vMerge w:val="restart"/>
            <w:shd w:val="clear" w:color="auto" w:fill="E7E7E2"/>
          </w:tcPr>
          <w:p>
            <w:pPr>
              <w:ind w:lef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3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1000" w:type="dxa"/>
            <w:vAlign w:val="bottom"/>
            <w:vMerge w:val="restart"/>
            <w:shd w:val="clear" w:color="auto" w:fill="E7E7E2"/>
          </w:tcPr>
          <w:p>
            <w:pPr>
              <w:ind w:lef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6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9"/>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00" w:type="dxa"/>
            <w:vAlign w:val="bottom"/>
            <w:shd w:val="clear" w:color="auto" w:fill="E7E7E2"/>
          </w:tcPr>
          <w:p>
            <w:pPr>
              <w:ind w:left="20"/>
              <w:spacing w:after="0" w:line="197"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7"/>
                <w:szCs w:val="17"/>
                <w:color w:val="auto"/>
              </w:rPr>
            </w:pPr>
          </w:p>
        </w:tc>
        <w:tc>
          <w:tcPr>
            <w:tcW w:w="640" w:type="dxa"/>
            <w:vAlign w:val="bottom"/>
            <w:vMerge w:val="restart"/>
            <w:shd w:val="clear" w:color="auto" w:fill="E7E7E2"/>
          </w:tcPr>
          <w:p>
            <w:pPr>
              <w:ind w:lef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3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7"/>
                <w:szCs w:val="17"/>
                <w:color w:val="auto"/>
              </w:rPr>
            </w:pPr>
          </w:p>
        </w:tc>
        <w:tc>
          <w:tcPr>
            <w:tcW w:w="1000" w:type="dxa"/>
            <w:vAlign w:val="bottom"/>
            <w:vMerge w:val="restart"/>
            <w:shd w:val="clear" w:color="auto" w:fill="E7E7E2"/>
          </w:tcPr>
          <w:p>
            <w:pPr>
              <w:ind w:lef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1000" w:type="dxa"/>
            <w:vAlign w:val="bottom"/>
            <w:vMerge w:val="restart"/>
            <w:shd w:val="clear" w:color="auto" w:fill="E7E7E2"/>
          </w:tcPr>
          <w:p>
            <w:pPr>
              <w:ind w:left="68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6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9"/>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0" w:type="dxa"/>
            <w:vAlign w:val="bottom"/>
            <w:tcBorders>
              <w:left w:val="single" w:sz="8" w:color="auto"/>
            </w:tcBorders>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2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jpe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jpeg"/><Relationship Id="rId37" Type="http://schemas.openxmlformats.org/officeDocument/2006/relationships/image" Target="media/image12.png"/><Relationship Id="rId38" Type="http://schemas.openxmlformats.org/officeDocument/2006/relationships/image" Target="media/image13.png"/><Relationship Id="rId9" Type="http://schemas.openxmlformats.org/officeDocument/2006/relationships/hyperlink" Target="https://www.sec.gov/Archives/edgar/data/1626878/000117184325001527/0001171843-25-001527-index.htm" TargetMode="External"/><Relationship Id="rId10" Type="http://schemas.openxmlformats.org/officeDocument/2006/relationships/hyperlink" Target="https://www.sec.gov/Archives/edgar/data/1626878/000117184325002595/0001171843-25-002595-index.htm" TargetMode="External"/><Relationship Id="rId11" Type="http://schemas.openxmlformats.org/officeDocument/2006/relationships/hyperlink" Target="https://www.sec.gov/Archives/edgar/data/1626878/000117184325003178/0001171843-25-003178-index.htm" TargetMode="External"/><Relationship Id="rId12" Type="http://schemas.openxmlformats.org/officeDocument/2006/relationships/hyperlink" Target="https://www.sec.gov/Archives/edgar/data/1626878/000117184325005368/0001171843-25-005368-index.htm" TargetMode="External"/><Relationship Id="rId13" Type="http://schemas.openxmlformats.org/officeDocument/2006/relationships/hyperlink" Target="https://www.sec.gov/Archives/edgar/data/1626878/000117184325007233/0001171843-25-007233-index.htm" TargetMode="External"/><Relationship Id="rId14" Type="http://schemas.openxmlformats.org/officeDocument/2006/relationships/hyperlink" Target="https://www.sec.gov/Archives/edgar/data/1626878/000117184325001876/0001171843-25-001876-index.htm" TargetMode="External"/><Relationship Id="rId15" Type="http://schemas.openxmlformats.org/officeDocument/2006/relationships/hyperlink" Target="https://www.sec.gov/Archives/edgar/data/1626878/000117184325002067/0001171843-25-002067-index.htm" TargetMode="External"/><Relationship Id="rId16" Type="http://schemas.openxmlformats.org/officeDocument/2006/relationships/hyperlink" Target="https://www.sec.gov/Archives/edgar/data/1626878/000117184325004066/0001171843-25-004066-index.htm" TargetMode="External"/><Relationship Id="rId17" Type="http://schemas.openxmlformats.org/officeDocument/2006/relationships/hyperlink" Target="https://www.sec.gov/Archives/edgar/data/1626878/000117184325005673/0001171843-25-005673-index.htm" TargetMode="External"/><Relationship Id="rId18" Type="http://schemas.openxmlformats.org/officeDocument/2006/relationships/hyperlink" Target="https://www.sec.gov/Archives/edgar/data/1626878/000117184325006266/0001171843-25-006266-index.htm" TargetMode="External"/><Relationship Id="rId19" Type="http://schemas.openxmlformats.org/officeDocument/2006/relationships/hyperlink" Target="https://www.sec.gov/Archives/edgar/data/1626878/000117184325006441/0001171843-25-006441-index.htm" TargetMode="External"/><Relationship Id="rId20" Type="http://schemas.openxmlformats.org/officeDocument/2006/relationships/hyperlink" Target="https://www.sec.gov/Archives/edgar/data/1626878/000117184325007836/0001171843-25-007836-index.htm" TargetMode="External"/><Relationship Id="rId21" Type="http://schemas.openxmlformats.org/officeDocument/2006/relationships/hyperlink" Target="https://www.sec.gov/Archives/edgar/data/1626878/000119312525156276/0001193125-25-156276-index.htm" TargetMode="External"/><Relationship Id="rId22" Type="http://schemas.openxmlformats.org/officeDocument/2006/relationships/hyperlink" Target="https://www.sec.gov/Archives/edgar/data/1626878/000119312515128208/0001193125-15-128208-index.htm" TargetMode="External"/><Relationship Id="rId26" Type="http://schemas.openxmlformats.org/officeDocument/2006/relationships/hyperlink" Target="https://www.sec.gov/Archives/edgar/data/1626878/000119312515028552/d833047dex31.htm" TargetMode="External"/><Relationship Id="rId27" Type="http://schemas.openxmlformats.org/officeDocument/2006/relationships/hyperlink" Target="https://www.sec.gov/Archives/edgar/data/1626878/000119312515028552/d833047dex32.htm" TargetMode="External"/><Relationship Id="rId28" Type="http://schemas.openxmlformats.org/officeDocument/2006/relationships/hyperlink" Target="https://www.sec.gov/Archives/edgar/data/1626878/000119312515028552/d833047dex33.htm" TargetMode="External"/><Relationship Id="rId29" Type="http://schemas.openxmlformats.org/officeDocument/2006/relationships/hyperlink" Target="https://www.sec.gov/ix?doc=/Archives/edgar/data/1626878/000119312525156276/d92581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2026-03-11T16:28:37Z</dcterms:created>
  <dcterms:modified xsi:type="dcterms:W3CDTF">2026-03-11T16:28:37Z</dcterms:modified>
</cp:coreProperties>
</file>