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001-37437</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ind w:left="1860"/>
        <w:spacing w:after="0"/>
        <w:tabs>
          <w:tab w:leader="none" w:pos="8440" w:val="left"/>
        </w:tabs>
        <w:rPr>
          <w:sz w:val="20"/>
          <w:szCs w:val="20"/>
          <w:color w:val="auto"/>
        </w:rPr>
      </w:pPr>
      <w:r>
        <w:rPr>
          <w:rFonts w:ascii="Arial" w:cs="Arial" w:eastAsia="Arial" w:hAnsi="Arial"/>
          <w:sz w:val="18"/>
          <w:szCs w:val="18"/>
          <w:b w:val="1"/>
          <w:bCs w:val="1"/>
          <w:color w:val="auto"/>
        </w:rPr>
        <w:t>British Columbia, Canada</w:t>
      </w:r>
      <w:r>
        <w:rPr>
          <w:sz w:val="20"/>
          <w:szCs w:val="20"/>
          <w:color w:val="auto"/>
        </w:rPr>
        <w:tab/>
      </w:r>
      <w:r>
        <w:rPr>
          <w:rFonts w:ascii="Arial" w:cs="Arial" w:eastAsia="Arial" w:hAnsi="Arial"/>
          <w:sz w:val="18"/>
          <w:szCs w:val="18"/>
          <w:b w:val="1"/>
          <w:bCs w:val="1"/>
          <w:color w:val="auto"/>
        </w:rPr>
        <w:t>N/A</w:t>
      </w:r>
    </w:p>
    <w:p>
      <w:pPr>
        <w:spacing w:after="0" w:line="27" w:lineRule="exact"/>
        <w:rPr>
          <w:sz w:val="24"/>
          <w:szCs w:val="24"/>
          <w:color w:val="auto"/>
        </w:rPr>
      </w:pPr>
    </w:p>
    <w:p>
      <w:pPr>
        <w:ind w:left="720"/>
        <w:spacing w:after="0"/>
        <w:tabs>
          <w:tab w:leader="none" w:pos="736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8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7"/>
              </w:rPr>
              <w:t>Title of each class</w:t>
            </w:r>
          </w:p>
        </w:tc>
        <w:tc>
          <w:tcPr>
            <w:tcW w:w="5340" w:type="dxa"/>
            <w:vAlign w:val="bottom"/>
            <w:gridSpan w:val="5"/>
          </w:tcPr>
          <w:p>
            <w:pPr>
              <w:jc w:val="center"/>
              <w:ind w:left="18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2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0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Common Stock, par value $0.0001 per share</w:t>
            </w:r>
          </w:p>
        </w:tc>
        <w:tc>
          <w:tcPr>
            <w:tcW w:w="1960" w:type="dxa"/>
            <w:vAlign w:val="bottom"/>
          </w:tcPr>
          <w:p>
            <w:pPr>
              <w:spacing w:after="0"/>
              <w:rPr>
                <w:sz w:val="20"/>
                <w:szCs w:val="20"/>
                <w:color w:val="auto"/>
              </w:rPr>
            </w:pPr>
          </w:p>
        </w:tc>
        <w:tc>
          <w:tcPr>
            <w:tcW w:w="3380" w:type="dxa"/>
            <w:vAlign w:val="bottom"/>
            <w:gridSpan w:val="4"/>
          </w:tcPr>
          <w:p>
            <w:pPr>
              <w:jc w:val="center"/>
              <w:ind w:right="60"/>
              <w:spacing w:after="0"/>
              <w:rPr>
                <w:sz w:val="20"/>
                <w:szCs w:val="20"/>
                <w:color w:val="auto"/>
              </w:rPr>
            </w:pPr>
            <w:r>
              <w:rPr>
                <w:rFonts w:ascii="Arial" w:cs="Arial" w:eastAsia="Arial" w:hAnsi="Arial"/>
                <w:sz w:val="18"/>
                <w:szCs w:val="18"/>
                <w:color w:val="auto"/>
                <w:w w:val="95"/>
              </w:rPr>
              <w:t>NASDAQ Global Market</w:t>
            </w:r>
          </w:p>
        </w:tc>
      </w:tr>
      <w:tr>
        <w:trPr>
          <w:trHeight w:val="630"/>
        </w:trPr>
        <w:tc>
          <w:tcPr>
            <w:tcW w:w="2180" w:type="dxa"/>
            <w:vAlign w:val="bottom"/>
          </w:tcPr>
          <w:p>
            <w:pPr>
              <w:spacing w:after="0"/>
              <w:rPr>
                <w:sz w:val="24"/>
                <w:szCs w:val="24"/>
                <w:color w:val="auto"/>
              </w:rPr>
            </w:pPr>
          </w:p>
        </w:tc>
        <w:tc>
          <w:tcPr>
            <w:tcW w:w="644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20" w:type="dxa"/>
            <w:vAlign w:val="bottom"/>
            <w:gridSpan w:val="2"/>
          </w:tcPr>
          <w:p>
            <w:pPr>
              <w:jc w:val="center"/>
              <w:ind w:right="209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0340" w:type="dxa"/>
            <w:vAlign w:val="bottom"/>
            <w:gridSpan w:val="8"/>
          </w:tcPr>
          <w:p>
            <w:pPr>
              <w:jc w:val="center"/>
              <w:ind w:left="990"/>
              <w:spacing w:after="0"/>
              <w:rPr>
                <w:sz w:val="20"/>
                <w:szCs w:val="20"/>
                <w:color w:val="auto"/>
              </w:rPr>
            </w:pPr>
            <w:r>
              <w:rPr>
                <w:rFonts w:ascii="Arial" w:cs="Arial" w:eastAsia="Arial" w:hAnsi="Arial"/>
                <w:sz w:val="18"/>
                <w:szCs w:val="18"/>
                <w:color w:val="auto"/>
                <w:w w:val="89"/>
              </w:rPr>
              <w:t>_______________________________________________________________________________________________________</w:t>
            </w:r>
          </w:p>
        </w:tc>
      </w:tr>
      <w:tr>
        <w:trPr>
          <w:trHeight w:val="385"/>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65"/>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02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ind w:right="46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 w:lineRule="exact"/>
        <w:rPr>
          <w:sz w:val="24"/>
          <w:szCs w:val="24"/>
          <w:color w:val="auto"/>
        </w:rPr>
      </w:pPr>
    </w:p>
    <w:p>
      <w:pPr>
        <w:spacing w:after="0" w:line="207" w:lineRule="exact"/>
        <w:tabs>
          <w:tab w:leader="none" w:pos="2860" w:val="left"/>
          <w:tab w:leader="none" w:pos="5380" w:val="left"/>
          <w:tab w:leader="none" w:pos="7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2015, the last business day of the registrant’s most recently completed second fiscal quarter, was approximately $348,728,794, based upon the closing sales price for the registrant’s common stock, as reported on the NASDAQ Global Market. The calculation of the aggregate market value of voting and non-voting common equity excludes 12,752,867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As of March 30, 2016, 32,292,106 shares of the registrant’s Common Stock were outstanding.</w:t>
      </w:r>
    </w:p>
    <w:p>
      <w:pPr>
        <w:spacing w:after="0" w:line="23"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left="200" w:firstLine="476"/>
        <w:spacing w:after="0" w:line="281" w:lineRule="auto"/>
        <w:rPr>
          <w:sz w:val="20"/>
          <w:szCs w:val="20"/>
          <w:color w:val="auto"/>
        </w:rPr>
      </w:pPr>
      <w:r>
        <w:rPr>
          <w:rFonts w:ascii="Arial" w:cs="Arial" w:eastAsia="Arial" w:hAnsi="Arial"/>
          <w:sz w:val="16"/>
          <w:szCs w:val="16"/>
          <w:color w:val="auto"/>
        </w:rPr>
        <w:t>Certain portions, as expressly described in this Annual Report on Form 10-K, of the registrant’s Proxy Statement for the 2016 Annual Meeting of the Stockholders, to be filed not later than 120 days after the end of the year covered by this Annual Report, are incorporated by reference into Part III of this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Annual Report where indicated.</w:t>
      </w:r>
    </w:p>
    <w:p>
      <w:pPr>
        <w:sectPr>
          <w:pgSz w:w="11900" w:h="16838" w:orient="portrait"/>
          <w:cols w:equalWidth="0" w:num="1">
            <w:col w:w="11400"/>
          </w:cols>
          <w:pgMar w:left="240" w:top="229" w:right="259" w:bottom="503" w:gutter="0" w:footer="0" w:header="0"/>
        </w:sect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9" w:right="259" w:bottom="50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0" w:type="dxa"/>
            <w:vAlign w:val="bottom"/>
            <w:gridSpan w:val="11"/>
          </w:tcPr>
          <w:p>
            <w:pPr>
              <w:jc w:val="center"/>
              <w:ind w:right="3640"/>
              <w:spacing w:after="0"/>
              <w:rPr>
                <w:sz w:val="20"/>
                <w:szCs w:val="20"/>
                <w:color w:val="auto"/>
              </w:rPr>
            </w:pPr>
            <w:r>
              <w:rPr>
                <w:rFonts w:ascii="Arial" w:cs="Arial" w:eastAsia="Arial" w:hAnsi="Arial"/>
                <w:sz w:val="22"/>
                <w:szCs w:val="22"/>
                <w:b w:val="1"/>
                <w:bCs w:val="1"/>
                <w:color w:val="auto"/>
                <w:w w:val="97"/>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0"/>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10"/>
          </w:tcPr>
          <w:p>
            <w:pPr>
              <w:jc w:val="center"/>
              <w:ind w:right="478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4"/>
        </w:trPr>
        <w:tc>
          <w:tcPr>
            <w:tcW w:w="1124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 BUSINESS</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5</w:t>
              </w:r>
            </w:hyperlink>
          </w:p>
        </w:tc>
      </w:tr>
      <w:tr>
        <w:trPr>
          <w:trHeight w:val="20"/>
        </w:trPr>
        <w:tc>
          <w:tcPr>
            <w:tcW w:w="1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22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1A. RISK FACTORS</w:t>
              </w:r>
            </w:hyperlink>
          </w:p>
        </w:tc>
        <w:tc>
          <w:tcPr>
            <w:tcW w:w="902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1">
              <w:r>
                <w:rPr>
                  <w:rFonts w:ascii="Arial" w:cs="Arial" w:eastAsia="Arial" w:hAnsi="Arial"/>
                  <w:sz w:val="18"/>
                  <w:szCs w:val="18"/>
                  <w:b w:val="1"/>
                  <w:bCs w:val="1"/>
                  <w:color w:val="0000EE"/>
                  <w:w w:val="79"/>
                </w:rPr>
                <w:t>21</w:t>
              </w:r>
            </w:hyperlink>
          </w:p>
        </w:tc>
      </w:tr>
      <w:tr>
        <w:trPr>
          <w:trHeight w:val="304"/>
        </w:trPr>
        <w:tc>
          <w:tcPr>
            <w:tcW w:w="38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1B. UNRESOLVED STAFF COMMENTS</w:t>
              </w:r>
            </w:hyperlink>
          </w:p>
        </w:tc>
        <w:tc>
          <w:tcPr>
            <w:tcW w:w="740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43</w:t>
              </w:r>
            </w:hyperlink>
          </w:p>
        </w:tc>
      </w:tr>
      <w:tr>
        <w:trPr>
          <w:trHeight w:val="304"/>
        </w:trPr>
        <w:tc>
          <w:tcPr>
            <w:tcW w:w="18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ITEM 2. PROPERTIES</w:t>
              </w:r>
            </w:hyperlink>
          </w:p>
        </w:tc>
        <w:tc>
          <w:tcPr>
            <w:tcW w:w="9380" w:type="dxa"/>
            <w:vAlign w:val="bottom"/>
            <w:gridSpan w:val="2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43</w:t>
              </w:r>
            </w:hyperlink>
          </w:p>
        </w:tc>
      </w:tr>
      <w:tr>
        <w:trPr>
          <w:trHeight w:val="304"/>
        </w:trPr>
        <w:tc>
          <w:tcPr>
            <w:tcW w:w="27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3. LEGAL PROCEEDINGS</w:t>
              </w:r>
            </w:hyperlink>
          </w:p>
        </w:tc>
        <w:tc>
          <w:tcPr>
            <w:tcW w:w="848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43</w:t>
              </w:r>
            </w:hyperlink>
          </w:p>
        </w:tc>
      </w:tr>
      <w:tr>
        <w:trPr>
          <w:trHeight w:val="304"/>
        </w:trPr>
        <w:tc>
          <w:tcPr>
            <w:tcW w:w="11240" w:type="dxa"/>
            <w:vAlign w:val="bottom"/>
            <w:gridSpan w:val="22"/>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4. MINE SAFETY DISCLOSURES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44</w:t>
              </w:r>
            </w:hyperlink>
          </w:p>
        </w:tc>
      </w:tr>
      <w:tr>
        <w:trPr>
          <w:trHeight w:val="561"/>
        </w:trPr>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10"/>
          </w:tcPr>
          <w:p>
            <w:pPr>
              <w:jc w:val="center"/>
              <w:ind w:right="4780"/>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84"/>
        </w:trPr>
        <w:tc>
          <w:tcPr>
            <w:tcW w:w="946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5. MARKET FOR REGISTRANT’S COMMON EQUITY, RELATED STOCKHOLDER MATTERS AND ISSUER</w:t>
              </w:r>
            </w:hyperlink>
          </w:p>
        </w:tc>
        <w:tc>
          <w:tcPr>
            <w:tcW w:w="17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240" w:type="dxa"/>
            <w:vAlign w:val="bottom"/>
            <w:gridSpan w:val="22"/>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PURCHASES OF EQUITY SECURITIES.</w:t>
              </w:r>
            </w:hyperlink>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44</w:t>
              </w:r>
            </w:hyperlink>
          </w:p>
        </w:tc>
      </w:tr>
      <w:tr>
        <w:trPr>
          <w:trHeight w:val="304"/>
        </w:trPr>
        <w:tc>
          <w:tcPr>
            <w:tcW w:w="33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6. SELECTED FINANCIAL DATA</w:t>
              </w:r>
            </w:hyperlink>
          </w:p>
        </w:tc>
        <w:tc>
          <w:tcPr>
            <w:tcW w:w="7920" w:type="dxa"/>
            <w:vAlign w:val="bottom"/>
            <w:gridSpan w:val="1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45</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722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7. MANAGEMENT’S DISCUSSION AND ANALYSIS OF FINANCIAL CONDITION</w:t>
              </w:r>
            </w:hyperlink>
          </w:p>
        </w:tc>
        <w:tc>
          <w:tcPr>
            <w:tcW w:w="402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46</w:t>
              </w:r>
            </w:hyperlink>
          </w:p>
        </w:tc>
      </w:tr>
      <w:tr>
        <w:trPr>
          <w:trHeight w:val="304"/>
        </w:trPr>
        <w:tc>
          <w:tcPr>
            <w:tcW w:w="692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7A. QUANTITATIVE AND QUALITATIVE DISCLOSURE OF MARKET RISKS</w:t>
              </w:r>
            </w:hyperlink>
          </w:p>
        </w:tc>
        <w:tc>
          <w:tcPr>
            <w:tcW w:w="43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52">
              <w:r>
                <w:rPr>
                  <w:rFonts w:ascii="Arial" w:cs="Arial" w:eastAsia="Arial" w:hAnsi="Arial"/>
                  <w:sz w:val="18"/>
                  <w:szCs w:val="18"/>
                  <w:b w:val="1"/>
                  <w:bCs w:val="1"/>
                  <w:color w:val="0000EE"/>
                  <w:w w:val="79"/>
                </w:rPr>
                <w:t>52</w:t>
              </w:r>
            </w:hyperlink>
          </w:p>
        </w:tc>
      </w:tr>
      <w:tr>
        <w:trPr>
          <w:trHeight w:val="304"/>
        </w:trPr>
        <w:tc>
          <w:tcPr>
            <w:tcW w:w="56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8. FINANCIAL STATEMENTS AND SUPPLEMENTARY DATA</w:t>
              </w:r>
            </w:hyperlink>
          </w:p>
        </w:tc>
        <w:tc>
          <w:tcPr>
            <w:tcW w:w="56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52">
              <w:r>
                <w:rPr>
                  <w:rFonts w:ascii="Arial" w:cs="Arial" w:eastAsia="Arial" w:hAnsi="Arial"/>
                  <w:sz w:val="18"/>
                  <w:szCs w:val="18"/>
                  <w:b w:val="1"/>
                  <w:bCs w:val="1"/>
                  <w:color w:val="0000EE"/>
                  <w:w w:val="79"/>
                </w:rPr>
                <w:t>52</w:t>
              </w:r>
            </w:hyperlink>
          </w:p>
        </w:tc>
      </w:tr>
      <w:tr>
        <w:trPr>
          <w:trHeight w:val="304"/>
        </w:trPr>
        <w:tc>
          <w:tcPr>
            <w:tcW w:w="102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9. CHANGES IN AND DISAGREEMENTS WITH ACCOUNTANTS ON ACCOUNTING AND FINANCIAL DISCLOSURE</w:t>
              </w:r>
            </w:hyperlink>
          </w:p>
        </w:tc>
        <w:tc>
          <w:tcPr>
            <w:tcW w:w="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68">
              <w:r>
                <w:rPr>
                  <w:rFonts w:ascii="Arial" w:cs="Arial" w:eastAsia="Arial" w:hAnsi="Arial"/>
                  <w:sz w:val="18"/>
                  <w:szCs w:val="18"/>
                  <w:b w:val="1"/>
                  <w:bCs w:val="1"/>
                  <w:color w:val="0000EE"/>
                  <w:w w:val="79"/>
                </w:rPr>
                <w:t>68</w:t>
              </w:r>
            </w:hyperlink>
          </w:p>
        </w:tc>
      </w:tr>
      <w:tr>
        <w:trPr>
          <w:trHeight w:val="304"/>
        </w:trPr>
        <w:tc>
          <w:tcPr>
            <w:tcW w:w="11240" w:type="dxa"/>
            <w:vAlign w:val="bottom"/>
            <w:gridSpan w:val="22"/>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9A. CONTROLS AND PROCEDURES.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68">
              <w:r>
                <w:rPr>
                  <w:rFonts w:ascii="Arial" w:cs="Arial" w:eastAsia="Arial" w:hAnsi="Arial"/>
                  <w:sz w:val="18"/>
                  <w:szCs w:val="18"/>
                  <w:b w:val="1"/>
                  <w:bCs w:val="1"/>
                  <w:color w:val="0000EE"/>
                  <w:w w:val="79"/>
                </w:rPr>
                <w:t>68</w:t>
              </w:r>
            </w:hyperlink>
          </w:p>
        </w:tc>
      </w:tr>
      <w:tr>
        <w:trPr>
          <w:trHeight w:val="304"/>
        </w:trPr>
        <w:tc>
          <w:tcPr>
            <w:tcW w:w="366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9B. OTHER INFORMATION</w:t>
              </w:r>
            </w:hyperlink>
          </w:p>
        </w:tc>
        <w:tc>
          <w:tcPr>
            <w:tcW w:w="7580" w:type="dxa"/>
            <w:vAlign w:val="bottom"/>
            <w:gridSpan w:val="1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69">
              <w:r>
                <w:rPr>
                  <w:rFonts w:ascii="Arial" w:cs="Arial" w:eastAsia="Arial" w:hAnsi="Arial"/>
                  <w:sz w:val="18"/>
                  <w:szCs w:val="18"/>
                  <w:b w:val="1"/>
                  <w:bCs w:val="1"/>
                  <w:color w:val="0000EE"/>
                  <w:w w:val="79"/>
                </w:rPr>
                <w:t>69</w:t>
              </w:r>
            </w:hyperlink>
          </w:p>
        </w:tc>
      </w:tr>
      <w:tr>
        <w:trPr>
          <w:trHeight w:val="561"/>
        </w:trPr>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10"/>
          </w:tcPr>
          <w:p>
            <w:pPr>
              <w:jc w:val="center"/>
              <w:ind w:right="4760"/>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84"/>
        </w:trPr>
        <w:tc>
          <w:tcPr>
            <w:tcW w:w="700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10. DIRECTORS, EXECUTIVE OFFICERS AND CORPORATE GOVERNANCE</w:t>
              </w:r>
            </w:hyperlink>
          </w:p>
        </w:tc>
        <w:tc>
          <w:tcPr>
            <w:tcW w:w="42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304"/>
        </w:trPr>
        <w:tc>
          <w:tcPr>
            <w:tcW w:w="11240" w:type="dxa"/>
            <w:vAlign w:val="bottom"/>
            <w:gridSpan w:val="22"/>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11. EXECUTIVE COMPENSATION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11240" w:type="dxa"/>
            <w:vAlign w:val="bottom"/>
            <w:gridSpan w:val="22"/>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12. SECURITY OWNERSHIP OF CERTATIN BENEFICIAL OWNERS AND MANAGEMENT AND RELATED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STOCKHOLDER MATTERS</w:t>
              </w:r>
            </w:hyperlink>
          </w:p>
        </w:tc>
        <w:tc>
          <w:tcPr>
            <w:tcW w:w="7000" w:type="dxa"/>
            <w:vAlign w:val="bottom"/>
            <w:tcBorders>
              <w:top w:val="single" w:sz="8" w:color="0000EE"/>
            </w:tcBorders>
            <w:gridSpan w:val="15"/>
          </w:tcPr>
          <w:p>
            <w:pPr>
              <w:spacing w:after="0"/>
              <w:rPr>
                <w:sz w:val="17"/>
                <w:szCs w:val="17"/>
                <w:color w:val="auto"/>
              </w:rPr>
            </w:pPr>
          </w:p>
        </w:tc>
        <w:tc>
          <w:tcPr>
            <w:tcW w:w="19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304"/>
        </w:trPr>
        <w:tc>
          <w:tcPr>
            <w:tcW w:w="11240" w:type="dxa"/>
            <w:vAlign w:val="bottom"/>
            <w:gridSpan w:val="22"/>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13. CERTAIN RELATIONSHPS AND RELATED TRANSACTIONS AND DIRECTOR INDENDENCE</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304"/>
        </w:trPr>
        <w:tc>
          <w:tcPr>
            <w:tcW w:w="85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14. PRINCIPAL ACCOUNTING FEES AND SERVICES</w:t>
              </w:r>
            </w:hyperlink>
          </w:p>
        </w:tc>
        <w:tc>
          <w:tcPr>
            <w:tcW w:w="268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345"/>
        </w:trPr>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6280" w:type="dxa"/>
            <w:vAlign w:val="bottom"/>
            <w:gridSpan w:val="10"/>
          </w:tcPr>
          <w:p>
            <w:pPr>
              <w:jc w:val="center"/>
              <w:ind w:right="4760"/>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84"/>
        </w:trPr>
        <w:tc>
          <w:tcPr>
            <w:tcW w:w="54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15. EXHIBITS AND FINANCIAL STATEMENT SCHEDULES</w:t>
              </w:r>
            </w:hyperlink>
          </w:p>
        </w:tc>
        <w:tc>
          <w:tcPr>
            <w:tcW w:w="578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70">
              <w:r>
                <w:rPr>
                  <w:rFonts w:ascii="Arial" w:cs="Arial" w:eastAsia="Arial" w:hAnsi="Arial"/>
                  <w:sz w:val="18"/>
                  <w:szCs w:val="18"/>
                  <w:b w:val="1"/>
                  <w:bCs w:val="1"/>
                  <w:color w:val="0000EE"/>
                  <w:w w:val="79"/>
                </w:rPr>
                <w:t>70</w:t>
              </w:r>
            </w:hyperlink>
          </w:p>
        </w:tc>
      </w:tr>
      <w:tr>
        <w:trPr>
          <w:trHeight w:val="885"/>
        </w:trPr>
        <w:tc>
          <w:tcPr>
            <w:tcW w:w="6920" w:type="dxa"/>
            <w:vAlign w:val="bottom"/>
            <w:gridSpan w:val="15"/>
          </w:tcPr>
          <w:p>
            <w:pPr>
              <w:jc w:val="center"/>
              <w:ind w:left="44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1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This annual report contain forward-looking statements that involve substantial risks and uncertainties.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annual report include, among other things, statements about the following:</w:t>
      </w:r>
    </w:p>
    <w:p>
      <w:pPr>
        <w:spacing w:after="0" w:line="17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regulatory approval to market and sell Xilonix™ in the United States, Europe and elsewhere;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initiation, timing, cost, progress and success of our research and development programs, preclinical studies and clinical trials for Xilonix™ and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the sale of Xilonix™ in the United States, Europe and elsewhere;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achieve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protect our intellectual property and operate our business without infringing upon the intellectual property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therapeutic benefits, effectiveness and safety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the accuracy of our estimates of the size and characteristics of the markets that may be addressed by our products and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and clinical utility of Xilonix™ and future products,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belief in the sufficiency of our cash flows to meet our needs for at least the next 12 to 24 months;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during which we will be an emerging growth company under the JOBS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and projected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and our needs for additional financing.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You should also read the matters described in the “Risk Factors” and the other cautionary statements made in this annual report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476"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XBiotech is a clinical-stage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While focused on bringing our lead product candidate to market, we also have developed a True Human™ pipeline and manufacturing system.</w:t>
      </w:r>
    </w:p>
    <w:p>
      <w:pPr>
        <w:spacing w:after="0" w:line="8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majority of our efforts to date have been concentrated on developing MABp1 (also known as Xilonix™, CA-18C3, CV-18C3, RA-18C3, and T2-18C3), a therapeutic antibody which specifically neutralizes interleukin-1 alpha (IL-1a). IL-1a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IL-1a with MABp1 may have a beneficial effect in several diseases.</w:t>
      </w:r>
    </w:p>
    <w:p>
      <w:pPr>
        <w:spacing w:after="0" w:line="8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completed a Phase I and II clinical trial for MABp1 as a treatment for cancer at MD Anderson Cancer Center. The results of this study, published in Lancet Oncology in April 2014, found that in the 52 patients with metastatic cancer (18 tumor types) who participated, MABp1 was well tolerated, with no dose-limiting toxicities or immunogenicity. Moreover, within eight weeks of starting therapy many patients began to improve with respect to constitutional symptoms. An imaging method, known as dual energy X-ray absorptiometry (DEXA), revealed that many of the patients improved physically, in terms of gaining lean body mass; and patient reported outcomes documented that many were recovering from pain, fatigue and appetite loss. Finally, we found that in the patients with colorectal cancer, DEXA-measured recovery was associated with significant improvement in survival.</w:t>
      </w:r>
    </w:p>
    <w:p>
      <w:pPr>
        <w:spacing w:after="0" w:line="5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We received a fast track designation from the FDA in October 2012 to develop Xilonix™ as a treatment in the setting of metastatic colorectal cancer. The purpose of the fast track designation is to aid in the development, and expedite the review, of drugs that have the potential to treat a serious or life-threatening disease. Currently one Phase III study is underway in the United States for advanced refractory colorectal cancer. We recently completed another Phase III study in Europe for symptomatic colorectal cancer at the end of 2015. With the success of the European Phase III trial, we are now in the process of seeking marketing approval for MABp1 at the European Medicines Agency. If the United States Phase III trial is also successful, we will seek marketing approval for MABp1 at the U.S. Food and Drug Administration. Assuming such marketing approvals are obtained, we would distribute and sell this product through our own direct sales force or with a commercial partner.</w:t>
      </w:r>
    </w:p>
    <w:p>
      <w:pPr>
        <w:spacing w:after="0" w:line="7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are also investigating MABp1 in clinical trials for other indications including vascular disease, type II diabetes, acne and psoriasis. In a randomized Phase II study involving 43 patients, we evaluated MABp1 for its ability to reduce adverse events after balloon angioplasty, atherectomy or stent placement in patients undergoing revascularization procedures for blockage of the superficial femoral artery (SFA), a major artery in the leg. While the study did not involve a large enough patient population to provide a statistically significant outcome, results from this study showed an important trend towards the reduction of restenosis and reduced incidence of Major Adverse Cardiovascular Events (MACE) in treated patients compared to the control group. In 2012, we obtained a fast track designation to develop MABp1 as a therapy to reduce the need for re-intervention after treatment of peripheral vascular disease with angioplasty or other endovascular methods of treatment. We have also entered into an agreement with Dr. Peter Libby, to examine the effects of IL-1a blockade in mouse models of acute myocardial infarction and atherosclerosis.</w:t>
      </w:r>
    </w:p>
    <w:p>
      <w:pPr>
        <w:spacing w:after="0" w:line="7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a Phase II pilot study completed in 2012, we tested MABp1 in patients with type II diabetes. A treatment-related decline in HbA1c, and increased serum levels of pro-insulin and C-peptide (indicators of improved glucose control and pancreas function, respectively) were observed. We also conducted two Phase II pilot studies in skin disease, evaluating the potential benefit of MABp1 in subjects with (1) moderate to severe plaque psoriasis and (2) moderate to severe acne vulgaris. The psoriasis study revealed rapid improvements in the Psoriasis Area and Severity Index (PASI), with patients having a median of 43% improvement within 35 days. In the acne study, treated patients exhibited a continual improvement in lesions over the course of therapy, with up to 42% reduction in eight weeks; and interestingly, these patients had a statistically significant improvement in anxiety, as measured by the Hospital Anxiety and Depression Scale (HADS). We continue to analyze our clinical results, and prioritize further clinical initiatives for MABp1 in oncology, SFA, diabetes, psoriasis and acne.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 w:name="page6"/>
    <w:bookmarkEnd w:id="5"/>
    <w:p>
      <w:pPr>
        <w:ind w:right="60" w:firstLine="441"/>
        <w:spacing w:after="0" w:line="279" w:lineRule="auto"/>
        <w:rPr>
          <w:sz w:val="20"/>
          <w:szCs w:val="20"/>
          <w:color w:val="auto"/>
        </w:rPr>
      </w:pPr>
      <w:r>
        <w:rPr>
          <w:rFonts w:ascii="Arial" w:cs="Arial" w:eastAsia="Arial" w:hAnsi="Arial"/>
          <w:sz w:val="17"/>
          <w:szCs w:val="17"/>
          <w:color w:val="auto"/>
        </w:rPr>
        <w:t>We recently filed an Investigational New Drug Application (IND) for a True Human™ Antibody therapy we are developing to treat infections due to Staphylococcus aureus. This product candidate was identified from an individual that harbored a natural antibody capable of neutralizing drug-resistant strains of Staphylococcus aureus. This agent is currently progressing through a Phase I and II study, after being released from clinical hold last year. The hold was implemented by the FDA so that an animal toxicology study could be performed prior to dosing patients in clinical trials.</w:t>
      </w:r>
    </w:p>
    <w:p>
      <w:pPr>
        <w:spacing w:after="0" w:line="6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February 2015, we received a blood donation from an Ebola-recovered patient, which was confirmed to have high levels of anti-Ebola antibodies. We signed an agreement with the US Army Medical Research Institute for Infectious Diseases (USAMRIID) to test these antibodies, and by October 2015, their results showed that 8 out of our 10 antibodies candidates were able to neutralize the deadly Ebola virus using in vitro assays. In addition, we received the blood donations from two patients that had each recently recovered from Ebola infection through our contractual relationship with the South Texas Blood &amp; Tissue Center, a 501(c) not for profit organization (STBTC), and have an obligation to pay STBTC a low single-digit royalty payment on any Ebola product that we develop based on these donations,</w:t>
      </w:r>
    </w:p>
    <w:p>
      <w:pPr>
        <w:spacing w:after="0" w:line="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More recently, we have begun using our True Human™ antibody technology to develop a therapy against clostridium difficile. Clostridium difficile (C. diff) is a bacterium that can cause severe infections in the gastrointestinal tract. The infection is greatest for individuals who are being treated with antibiotics, those that are hospitalized or in nursing homes, and the elderly. Additionally, about 1 in 5 patients that become infected with C. diff experience a relapse and need to be re-treated. Over the past decade, C. diff has emerged as a significant public health threat, and we feel that it is a serious and unmet need for patients worldwide. In fact, the colorectal cancer (CRC) has designated it as an “Urgent threat level”, meaning that it is an immediate public health threat that requires urgent and aggressive action.</w:t>
      </w:r>
    </w:p>
    <w:p>
      <w:pPr>
        <w:spacing w:after="0" w:line="85"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Our True Human™ antibody therapeutics are developed in-house using our proprietary discovery platform. Identifying True Human™ antibodies useful for therapeutics may involve screening thousands of blood donors. To distinguish the clinically relevant antibodies from irrelevant background antibody molecules in donor bloods, we use our Super High Stringency Antibody Mining (SHSAM™) technology. After we identify donors, we undertake a complex process identifying the responsible genes for producing the native antibody. Once the nucleic acid sequence is isolated, we are able to clone these genes into production cells to manufacture large quantities of product candidate for use in humans. All patents and other intellectual property relating to both the composition of matter and methods of use of our True Human™ antibodies were developed internally by us. We manufacture these antibodies using a proprietary expression system licensed from Lonza Sales AG. The manufacturing process we have developed incorporates both proprietary and non-proprietary technology.</w:t>
      </w:r>
    </w:p>
    <w:p>
      <w:pPr>
        <w:spacing w:after="0" w:line="84"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A key aspect of our manufacturing system involves the use of simple disposable bioreactor technology. Our manufacturing operation is currently located within our forty-six thousand square foot facility in Austin, Texas. To accommodate larger-scale commercial manufacturing needs, we purchased 48 acres of industrial-zoned property located five miles from Austin’s central business district. In September 2014, we commenced ground-breaking on a new manufacturing facility on this property. Construction is estimated to be completed by mid 2016, with an anticipated operation date in mid 2016.</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Background on Therapeutic Antibodies</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8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lead to the development of what is now a major industry around the use of therapeutic antibodies.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True Human™ Antibodies</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w:t>
      </w:r>
    </w:p>
    <w:p>
      <w:pPr>
        <w:spacing w:after="0" w:line="73"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Science of True Human™ Antibodies</w:t>
      </w:r>
    </w:p>
    <w:p>
      <w:pPr>
        <w:spacing w:after="0" w:line="121"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To appreciate the background safety and tolerability of True Human™ antibodies, it is important to consider the fundamental biology of natural antibody production.</w:t>
      </w:r>
    </w:p>
    <w:p>
      <w:pPr>
        <w:spacing w:after="0" w:line="62"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Billions of different white blood cells secrete billions of unique antibodies every day into the circulation. The vast number of different antibodies (and cells that produce them), are essential to enable adequate molecular diversity to ward off all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79"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20,000 times as many genes needed just for antibodies as there would be needed to encode the rest of the entire human genome. Individual cells would need to be gigantic, and monumental resources would be required to make, copy and maintain all of the DNA. Clearly, the system of antibodies could not have evolved to protect us, had not an elegant solution emerged to deal with this genetic conundrum.</w:t>
      </w:r>
    </w:p>
    <w:p>
      <w:pPr>
        <w:spacing w:after="0" w:line="8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8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extraordinary process of gene rearrangement and mutation results in a multitude of unique B lymphocytes and consequently an incredibly diverse repertoire of antibodies in any given individual.</w:t>
      </w:r>
    </w:p>
    <w:p>
      <w:pPr>
        <w:spacing w:after="0" w:line="62" w:lineRule="exact"/>
        <w:rPr>
          <w:sz w:val="20"/>
          <w:szCs w:val="20"/>
          <w:color w:val="auto"/>
        </w:rPr>
      </w:pPr>
    </w:p>
    <w:p>
      <w:pPr>
        <w:jc w:val="both"/>
        <w:ind w:right="40" w:firstLine="441"/>
        <w:spacing w:after="0" w:line="257" w:lineRule="auto"/>
        <w:rPr>
          <w:sz w:val="20"/>
          <w:szCs w:val="20"/>
          <w:color w:val="auto"/>
        </w:rPr>
      </w:pPr>
      <w:r>
        <w:rPr>
          <w:rFonts w:ascii="Arial" w:cs="Arial" w:eastAsia="Arial" w:hAnsi="Arial"/>
          <w:sz w:val="18"/>
          <w:szCs w:val="18"/>
          <w:color w:val="auto"/>
        </w:rPr>
        <w:t>Elucidating the mechanisms behind the production of unique antibody genes must be considered one of the major achievements of medical research in the 20th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8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62"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 w:name="page8"/>
    <w:bookmarkEnd w:id="7"/>
    <w:p>
      <w:pPr>
        <w:ind w:right="120" w:firstLine="441"/>
        <w:spacing w:after="0" w:line="264" w:lineRule="auto"/>
        <w:rPr>
          <w:sz w:val="20"/>
          <w:szCs w:val="20"/>
          <w:color w:val="auto"/>
        </w:rPr>
      </w:pPr>
      <w:r>
        <w:rPr>
          <w:rFonts w:ascii="Arial" w:cs="Arial" w:eastAsia="Arial" w:hAnsi="Arial"/>
          <w:sz w:val="18"/>
          <w:szCs w:val="18"/>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Context</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73"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manufactured using recombinant protein technology currently marketed. If successful in clinical development, our lead product Xilonix™ is expected to be the first True Human™ therapeutic antibody to be commercialized.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There are significant technical challenges in identifying and cloning genes for True Human™ antibodies. A key problem to overcome can be to first identify individuals with the desired antibody reactivity. This can involve screening hundreds of donors to enable the identification of a single, clinically relevant antibody—discovered from literally trillions of irrelevant background antibody molecules in the blood of donors. We screen human donors to find an individual who has in his or her blood a specific antibody that we believe will be protective against a certain disease. White blood cells from that individual can then be isolated, and the unique gene that produced the antibody obtained. We currently obtain blood donor samples through a Research and Collaboration Agreement with the South Texas Blood &amp; Tissue Center, a Texas 501(c)(3) non-profit corporation. See "Intellectual Property- Other Commercial Licenses."</w:t>
      </w:r>
    </w:p>
    <w:p>
      <w:pPr>
        <w:spacing w:after="0" w:line="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have a number of indications in various stages of clinical or pre-clinical development with significant market opportunities. These include oncology, diabetes, dermatology and infectious disease indications. At present, our therapy for colorectal cancer, in which we have completed one Phase III study and have another ongoing, is the most advanced.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Business and the Market for Colorectal Therapies</w:t>
      </w:r>
    </w:p>
    <w:p>
      <w:pPr>
        <w:spacing w:after="0" w:line="121" w:lineRule="exact"/>
        <w:rPr>
          <w:sz w:val="20"/>
          <w:szCs w:val="20"/>
          <w:color w:val="auto"/>
        </w:rPr>
      </w:pPr>
    </w:p>
    <w:p>
      <w:pPr>
        <w:ind w:right="180" w:firstLine="441"/>
        <w:spacing w:after="0" w:line="273" w:lineRule="auto"/>
        <w:rPr>
          <w:sz w:val="20"/>
          <w:szCs w:val="20"/>
          <w:color w:val="auto"/>
        </w:rPr>
      </w:pPr>
      <w:r>
        <w:rPr>
          <w:rFonts w:ascii="Arial" w:cs="Arial" w:eastAsia="Arial" w:hAnsi="Arial"/>
          <w:sz w:val="17"/>
          <w:szCs w:val="17"/>
          <w:color w:val="auto"/>
        </w:rPr>
        <w:t>The development of new therapies for the treatment of cancer continues to be a fundamental area of focus and growth in the pharmaceutical and biopharmaceutical industry. Detailed and thorough analysis of the oncology business, including that for colorectal cancer, is available from a number of research specialists. In brief, over the past decade expenditures in R&amp;D and revenues derived from oncology related sales have continued to grow largely as anticipated. According to the independent research group IMS Health, the market for cancer drugs grew at an annual rate of about 5% between 2008 and 2013, which is slower than previous years, but still makes it by far the largest sector of the pharmaceutical industry. In 2017, they predict between $74 and $84 billion in sales, double that of the second place area of sales, which is diabetes.</w:t>
      </w:r>
    </w:p>
    <w:p>
      <w:pPr>
        <w:spacing w:after="0" w:line="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three major regional markets for cancer drugs are the United States, Europe and Japan, with US sales representing about 40% of the global market share. The largest revenue earners in the oncology space are the therapeutic antibodies Avastin, Herceptin and Rituximab, with combined sales reported to be over $20 billion in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firstLine="441"/>
        <w:spacing w:after="0" w:line="264" w:lineRule="auto"/>
        <w:rPr>
          <w:sz w:val="20"/>
          <w:szCs w:val="20"/>
          <w:color w:val="auto"/>
        </w:rPr>
      </w:pPr>
      <w:r>
        <w:rPr>
          <w:rFonts w:ascii="Arial" w:cs="Arial" w:eastAsia="Arial" w:hAnsi="Arial"/>
          <w:sz w:val="18"/>
          <w:szCs w:val="18"/>
          <w:color w:val="auto"/>
        </w:rPr>
        <w:t>The market for colorectal cancer (CRC) drugs is expected to grow, according to the independent research group RnRMarketResearch.com, at a compound annual growth rate of 1.8%, to reach $9.4 billion in annual sales over the next 5 years. The US market for CRC therapeutics commands about 44% of the global business, more than double that of the next biggest market, Japan.</w:t>
      </w:r>
    </w:p>
    <w:p>
      <w:pPr>
        <w:spacing w:after="0" w:line="73"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According to RnRMarketResearch.com, however, growth for the CRC drug business is expected to be tempered by increasing availability of biosimilar competitors, particularly those challenging leading products such as Avastin and Herceptin. There is also a substantial pipeline for CRC therapeutics across the industry in various stages of commercialization that are expected to bring new drugs to patients and competition to the market place.</w:t>
      </w:r>
    </w:p>
    <w:p>
      <w:pPr>
        <w:spacing w:after="0" w:line="39"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An intense industry focus on developing new therapies for CRC is not surprising since this a highly prevalent form of cancer. According to the American Cancer Society, Surveillance Research 2015, nearly 130,000 men and women in the United States will be diagnosed with CRC in 2015. This represents almost 20% of all forms of cancer that will be diagnosed in 2015. In terms of mortality, as many as 50,000 people are expected to die from the disease in 2015 and many more will be refractory to existing therapy.</w:t>
      </w:r>
    </w:p>
    <w:p>
      <w:pPr>
        <w:spacing w:after="0" w:line="7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Our therapeutic antibody Xilonix™ is being evaluated as a monotherapy to treat advanced stages of colorectal cancer. If Xilonix™ therapy proves successful in both its Phase III clinical programs, it will have demonstrated the ability to not only increase survival of patients, but also to facilitate recovery and reduce debilitating symptoms of the disease.</w:t>
      </w:r>
    </w:p>
    <w:p>
      <w:pPr>
        <w:spacing w:after="0" w:line="7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are aware of no other cancer therapy either marketed or in development that achieves overall survival benefit and in the course of treatment improves quality of life, and facilitates physical recovery of advanced cancer patients. While the market for CRC drugs is competitive and dynamic, in the event marketing approval is established for Xilonix™, we expect this therapy to be a highly valued and unique therapy in oncology, providing for significant market share in advanced CRC.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Our objective is to fundamentally change the way therapeutic antibodies are developed and commercialized, and become a leading biopharmaceutical company focused on the discovery, development and commercialization of therapeutic True Human™ antibodies. The key goals of our business strategy are to:</w:t>
      </w:r>
    </w:p>
    <w:p>
      <w:pPr>
        <w:spacing w:after="0" w:line="77" w:lineRule="exact"/>
        <w:rPr>
          <w:sz w:val="20"/>
          <w:szCs w:val="20"/>
          <w:color w:val="auto"/>
        </w:rPr>
      </w:pPr>
    </w:p>
    <w:p>
      <w:pPr>
        <w:ind w:left="880" w:hanging="332"/>
        <w:spacing w:after="0"/>
        <w:tabs>
          <w:tab w:leader="none" w:pos="880" w:val="left"/>
        </w:tabs>
        <w:numPr>
          <w:ilvl w:val="0"/>
          <w:numId w:val="3"/>
        </w:numPr>
        <w:rPr>
          <w:rFonts w:ascii="Arial" w:cs="Arial" w:eastAsia="Arial" w:hAnsi="Arial"/>
          <w:sz w:val="31"/>
          <w:szCs w:val="31"/>
          <w:color w:val="auto"/>
          <w:vertAlign w:val="superscript"/>
        </w:rPr>
      </w:pPr>
      <w:r>
        <w:rPr>
          <w:rFonts w:ascii="Arial" w:cs="Arial" w:eastAsia="Arial" w:hAnsi="Arial"/>
          <w:sz w:val="16"/>
          <w:szCs w:val="16"/>
          <w:color w:val="auto"/>
        </w:rPr>
        <w:t>Obtain regulatory approval to market and sell Xilonix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Europe and other markets, and begin commercial sale of Xilonix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20" w:lineRule="exact"/>
        <w:rPr>
          <w:rFonts w:ascii="Arial" w:cs="Arial" w:eastAsia="Arial" w:hAnsi="Arial"/>
          <w:sz w:val="31"/>
          <w:szCs w:val="31"/>
          <w:color w:val="auto"/>
          <w:vertAlign w:val="superscript"/>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Continue our research and clinical work on infectious diseases, including S. </w:t>
      </w:r>
      <w:r>
        <w:rPr>
          <w:rFonts w:ascii="Arial" w:cs="Arial" w:eastAsia="Arial" w:hAnsi="Arial"/>
          <w:sz w:val="18"/>
          <w:szCs w:val="18"/>
          <w:i w:val="1"/>
          <w:iCs w:val="1"/>
          <w:color w:val="auto"/>
        </w:rPr>
        <w:t>aureus</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880" w:right="16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our clinical results for SFA, diabetes, psoriasis and acne and determine additional research or clinical studies, which we may conduct in the future;</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Discover other True Human™ antibody therapies using our proprietary platform; and</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Product Pipeline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 development status for the fourth quarter of 2015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220980</wp:posOffset>
            </wp:positionV>
            <wp:extent cx="6860540" cy="3902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054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There continues to be a highly active commercial pipeline of therapeutic antibodies globally, involving a complex array of development cycles as products reach the end of their patent life and as new candidate products proceed into pivotal studies and approach registration. While there are numerous independent reviews on the subject in both trade journals and academic press, XBiotech has analyzed and attempted to synthesize these publicly available data in order to understand, at least at the broadest level, the competitive landscape for its products.</w:t>
      </w:r>
    </w:p>
    <w:p>
      <w:pPr>
        <w:spacing w:after="0" w:line="6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While we believe True Human™ therapeutic antibodies are an important positive differentiating factor from other monoclonal antibodies currently marketed, we also believe the unique activity of our anti-cancer therapeutic Xilonix™, which is being tested for its ability to both improve well beings and extend life. If proven in our Phase III clinical programs, we feel Xilonix™ will be highly differentiated in the market place for colorectal cancer therapeutics. However, regardless of the potential advantages or uniqueness of Xilonix™ in the market, we do expect these products to compete head-to-head with the numerous existing candidate antibody products in development, including emerging biosimilar therapeutic antibodies.</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0" w:name="page11"/>
    <w:bookmarkEnd w:id="10"/>
    <w:p>
      <w:pPr>
        <w:ind w:right="80" w:firstLine="441"/>
        <w:spacing w:after="0" w:line="312" w:lineRule="auto"/>
        <w:rPr>
          <w:sz w:val="20"/>
          <w:szCs w:val="20"/>
          <w:color w:val="auto"/>
        </w:rPr>
      </w:pPr>
      <w:r>
        <w:rPr>
          <w:rFonts w:ascii="Arial" w:cs="Arial" w:eastAsia="Arial" w:hAnsi="Arial"/>
          <w:sz w:val="16"/>
          <w:szCs w:val="16"/>
          <w:color w:val="auto"/>
        </w:rPr>
        <w:t>As reported in the National Review of Drug Discovery (October 2010), more than 140 “fully human” antibodies had entered clinical studies and from 2004-2013 nineteen antibody therapeutics were approved in the US for marketing, with some antibodies receiving marketing approval in multiple indications (Reichert JM, Antibodies to Watch in 2014. mAbs. 6:4, 799-802). Thus the competitive landscape is both broad and complex (See below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Generic</w:t>
            </w:r>
          </w:p>
        </w:tc>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Status of</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Drug</w:t>
            </w:r>
          </w:p>
        </w:tc>
        <w:tc>
          <w:tcPr>
            <w:tcW w:w="1900" w:type="dxa"/>
            <w:vAlign w:val="bottom"/>
          </w:tcPr>
          <w:p>
            <w:pPr>
              <w:ind w:left="100"/>
              <w:spacing w:after="0"/>
              <w:rPr>
                <w:sz w:val="20"/>
                <w:szCs w:val="20"/>
                <w:color w:val="auto"/>
              </w:rPr>
            </w:pPr>
            <w:r>
              <w:rPr>
                <w:rFonts w:ascii="Arial" w:cs="Arial" w:eastAsia="Arial" w:hAnsi="Arial"/>
                <w:sz w:val="18"/>
                <w:szCs w:val="18"/>
                <w:b w:val="1"/>
                <w:bCs w:val="1"/>
                <w:color w:val="auto"/>
              </w:rPr>
              <w:t>Company</w:t>
            </w: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Drug</w:t>
            </w: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Indication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Cancer Treatments</w:t>
            </w:r>
          </w:p>
        </w:tc>
        <w:tc>
          <w:tcPr>
            <w:tcW w:w="1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Yervoy ®</w:t>
            </w:r>
          </w:p>
        </w:tc>
        <w:tc>
          <w:tcPr>
            <w:tcW w:w="1480" w:type="dxa"/>
            <w:vAlign w:val="bottom"/>
            <w:tcBorders>
              <w:top w:val="single" w:sz="8" w:color="CCEEFF"/>
            </w:tcBorders>
            <w:gridSpan w:val="4"/>
          </w:tcPr>
          <w:p>
            <w:pPr>
              <w:spacing w:after="0"/>
              <w:rPr>
                <w:sz w:val="18"/>
                <w:szCs w:val="18"/>
                <w:color w:val="auto"/>
              </w:rPr>
            </w:pPr>
          </w:p>
        </w:tc>
        <w:tc>
          <w:tcPr>
            <w:tcW w:w="190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Bristol-Myers Squibb</w:t>
            </w:r>
          </w:p>
        </w:tc>
        <w:tc>
          <w:tcPr>
            <w:tcW w:w="114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Ipilmumab</w:t>
            </w:r>
          </w:p>
        </w:tc>
        <w:tc>
          <w:tcPr>
            <w:tcW w:w="12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Melanoma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Vectibix ®</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Amgen</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Panitumumab</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Colorectal Cancer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Arzerra®</w:t>
            </w:r>
          </w:p>
        </w:tc>
        <w:tc>
          <w:tcPr>
            <w:tcW w:w="1900" w:type="dxa"/>
            <w:vAlign w:val="bottom"/>
          </w:tcPr>
          <w:p>
            <w:pPr>
              <w:ind w:left="100"/>
              <w:spacing w:after="0"/>
              <w:rPr>
                <w:sz w:val="20"/>
                <w:szCs w:val="20"/>
                <w:color w:val="auto"/>
              </w:rPr>
            </w:pPr>
            <w:r>
              <w:rPr>
                <w:rFonts w:ascii="Arial" w:cs="Arial" w:eastAsia="Arial" w:hAnsi="Arial"/>
                <w:sz w:val="18"/>
                <w:szCs w:val="18"/>
                <w:color w:val="auto"/>
              </w:rPr>
              <w:t>GlaxoSmithKline</w:t>
            </w:r>
          </w:p>
        </w:tc>
        <w:tc>
          <w:tcPr>
            <w:tcW w:w="1140" w:type="dxa"/>
            <w:vAlign w:val="bottom"/>
          </w:tcPr>
          <w:p>
            <w:pPr>
              <w:ind w:left="60"/>
              <w:spacing w:after="0"/>
              <w:rPr>
                <w:sz w:val="20"/>
                <w:szCs w:val="20"/>
                <w:color w:val="auto"/>
              </w:rPr>
            </w:pPr>
            <w:r>
              <w:rPr>
                <w:rFonts w:ascii="Arial" w:cs="Arial" w:eastAsia="Arial" w:hAnsi="Arial"/>
                <w:sz w:val="18"/>
                <w:szCs w:val="18"/>
                <w:color w:val="auto"/>
              </w:rPr>
              <w:t>Ofatumumab</w:t>
            </w:r>
          </w:p>
        </w:tc>
        <w:tc>
          <w:tcPr>
            <w:tcW w:w="1200" w:type="dxa"/>
            <w:vAlign w:val="bottom"/>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Pr>
          <w:p>
            <w:pPr>
              <w:ind w:left="40"/>
              <w:spacing w:after="0"/>
              <w:rPr>
                <w:sz w:val="20"/>
                <w:szCs w:val="20"/>
                <w:color w:val="auto"/>
              </w:rPr>
            </w:pPr>
            <w:r>
              <w:rPr>
                <w:rFonts w:ascii="Arial" w:cs="Arial" w:eastAsia="Arial" w:hAnsi="Arial"/>
                <w:sz w:val="18"/>
                <w:szCs w:val="18"/>
                <w:color w:val="auto"/>
              </w:rPr>
              <w:t>Leukemia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5"/>
            <w:shd w:val="clear" w:color="auto" w:fill="CCEEFF"/>
          </w:tcPr>
          <w:p>
            <w:pPr>
              <w:ind w:left="160"/>
              <w:spacing w:after="0" w:line="256" w:lineRule="exact"/>
              <w:rPr>
                <w:sz w:val="20"/>
                <w:szCs w:val="20"/>
                <w:color w:val="auto"/>
              </w:rPr>
            </w:pPr>
            <w:r>
              <w:rPr>
                <w:rFonts w:ascii="Arial" w:cs="Arial" w:eastAsia="Arial" w:hAnsi="Arial"/>
                <w:sz w:val="18"/>
                <w:szCs w:val="18"/>
                <w:color w:val="auto"/>
              </w:rPr>
              <w:t>Cyramza</w:t>
            </w:r>
            <w:r>
              <w:rPr>
                <w:rFonts w:ascii="Arial" w:cs="Arial" w:eastAsia="Arial" w:hAnsi="Arial"/>
                <w:sz w:val="29"/>
                <w:szCs w:val="29"/>
                <w:color w:val="auto"/>
                <w:vertAlign w:val="superscript"/>
              </w:rPr>
              <w:t>™</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Lilly</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Ramucirumab</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5"/>
          </w:tcPr>
          <w:p>
            <w:pPr>
              <w:ind w:left="160"/>
              <w:spacing w:after="0" w:line="256" w:lineRule="exact"/>
              <w:rPr>
                <w:sz w:val="20"/>
                <w:szCs w:val="20"/>
                <w:color w:val="auto"/>
              </w:rPr>
            </w:pPr>
            <w:r>
              <w:rPr>
                <w:rFonts w:ascii="Arial" w:cs="Arial" w:eastAsia="Arial" w:hAnsi="Arial"/>
                <w:sz w:val="18"/>
                <w:szCs w:val="18"/>
                <w:color w:val="auto"/>
              </w:rPr>
              <w:t>Opdivo</w:t>
            </w:r>
            <w:r>
              <w:rPr>
                <w:rFonts w:ascii="Arial" w:cs="Arial" w:eastAsia="Arial" w:hAnsi="Arial"/>
                <w:sz w:val="29"/>
                <w:szCs w:val="29"/>
                <w:color w:val="auto"/>
                <w:vertAlign w:val="superscript"/>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Bristol-Myers Squibb</w:t>
            </w:r>
          </w:p>
        </w:tc>
        <w:tc>
          <w:tcPr>
            <w:tcW w:w="1140" w:type="dxa"/>
            <w:vAlign w:val="bottom"/>
          </w:tcPr>
          <w:p>
            <w:pPr>
              <w:ind w:left="60"/>
              <w:spacing w:after="0"/>
              <w:rPr>
                <w:sz w:val="20"/>
                <w:szCs w:val="20"/>
                <w:color w:val="auto"/>
              </w:rPr>
            </w:pPr>
            <w:r>
              <w:rPr>
                <w:rFonts w:ascii="Arial" w:cs="Arial" w:eastAsia="Arial" w:hAnsi="Arial"/>
                <w:sz w:val="18"/>
                <w:szCs w:val="18"/>
                <w:color w:val="auto"/>
              </w:rPr>
              <w:t>Nivolumab</w:t>
            </w:r>
          </w:p>
        </w:tc>
        <w:tc>
          <w:tcPr>
            <w:tcW w:w="1200" w:type="dxa"/>
            <w:vAlign w:val="bottom"/>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Pr>
          <w:p>
            <w:pPr>
              <w:ind w:left="40"/>
              <w:spacing w:after="0"/>
              <w:rPr>
                <w:sz w:val="20"/>
                <w:szCs w:val="20"/>
                <w:color w:val="auto"/>
              </w:rPr>
            </w:pPr>
            <w:r>
              <w:rPr>
                <w:rFonts w:ascii="Arial" w:cs="Arial" w:eastAsia="Arial" w:hAnsi="Arial"/>
                <w:sz w:val="18"/>
                <w:szCs w:val="18"/>
                <w:color w:val="auto"/>
              </w:rPr>
              <w:t>Melanoma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5"/>
            <w:shd w:val="clear" w:color="auto" w:fill="CCEEFF"/>
          </w:tcPr>
          <w:p>
            <w:pPr>
              <w:ind w:left="160"/>
              <w:spacing w:after="0" w:line="256" w:lineRule="exact"/>
              <w:rPr>
                <w:sz w:val="20"/>
                <w:szCs w:val="20"/>
                <w:color w:val="auto"/>
              </w:rPr>
            </w:pPr>
            <w:r>
              <w:rPr>
                <w:rFonts w:ascii="Arial" w:cs="Arial" w:eastAsia="Arial" w:hAnsi="Arial"/>
                <w:sz w:val="18"/>
                <w:szCs w:val="18"/>
                <w:color w:val="auto"/>
              </w:rPr>
              <w:t>Cyramza</w:t>
            </w:r>
            <w:r>
              <w:rPr>
                <w:rFonts w:ascii="Arial" w:cs="Arial" w:eastAsia="Arial" w:hAnsi="Arial"/>
                <w:sz w:val="29"/>
                <w:szCs w:val="29"/>
                <w:color w:val="auto"/>
                <w:vertAlign w:val="superscript"/>
              </w:rPr>
              <w:t>™</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Lilly</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Ramucirumab</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Gastric and Colorectal Cancer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Sylvant®</w:t>
            </w:r>
          </w:p>
        </w:tc>
        <w:tc>
          <w:tcPr>
            <w:tcW w:w="1900" w:type="dxa"/>
            <w:vAlign w:val="bottom"/>
          </w:tcPr>
          <w:p>
            <w:pPr>
              <w:ind w:left="100"/>
              <w:spacing w:after="0"/>
              <w:rPr>
                <w:sz w:val="20"/>
                <w:szCs w:val="20"/>
                <w:color w:val="auto"/>
              </w:rPr>
            </w:pPr>
            <w:r>
              <w:rPr>
                <w:rFonts w:ascii="Arial" w:cs="Arial" w:eastAsia="Arial" w:hAnsi="Arial"/>
                <w:sz w:val="18"/>
                <w:szCs w:val="18"/>
                <w:color w:val="auto"/>
              </w:rPr>
              <w:t>Janssen</w:t>
            </w:r>
          </w:p>
        </w:tc>
        <w:tc>
          <w:tcPr>
            <w:tcW w:w="1140" w:type="dxa"/>
            <w:vAlign w:val="bottom"/>
          </w:tcPr>
          <w:p>
            <w:pPr>
              <w:ind w:left="60"/>
              <w:spacing w:after="0"/>
              <w:rPr>
                <w:sz w:val="20"/>
                <w:szCs w:val="20"/>
                <w:color w:val="auto"/>
              </w:rPr>
            </w:pPr>
            <w:r>
              <w:rPr>
                <w:rFonts w:ascii="Arial" w:cs="Arial" w:eastAsia="Arial" w:hAnsi="Arial"/>
                <w:sz w:val="18"/>
                <w:szCs w:val="18"/>
                <w:color w:val="auto"/>
              </w:rPr>
              <w:t>Siltuximab</w:t>
            </w:r>
          </w:p>
        </w:tc>
        <w:tc>
          <w:tcPr>
            <w:tcW w:w="1200" w:type="dxa"/>
            <w:vAlign w:val="bottom"/>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Pr>
          <w:p>
            <w:pPr>
              <w:ind w:left="40"/>
              <w:spacing w:after="0"/>
              <w:rPr>
                <w:sz w:val="20"/>
                <w:szCs w:val="20"/>
                <w:color w:val="auto"/>
              </w:rPr>
            </w:pPr>
            <w:r>
              <w:rPr>
                <w:rFonts w:ascii="Arial" w:cs="Arial" w:eastAsia="Arial" w:hAnsi="Arial"/>
                <w:sz w:val="18"/>
                <w:szCs w:val="18"/>
                <w:color w:val="auto"/>
              </w:rPr>
              <w:t>Myeloma (Multicentric Castleman’s Disease)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Entyvio®</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Takeda Pharmaceuticals</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Vedolizumab</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Ulcerative Colitis and Crohn’s disease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Daratumumab</w:t>
            </w:r>
          </w:p>
        </w:tc>
        <w:tc>
          <w:tcPr>
            <w:tcW w:w="1900" w:type="dxa"/>
            <w:vAlign w:val="bottom"/>
          </w:tcPr>
          <w:p>
            <w:pPr>
              <w:ind w:left="100"/>
              <w:spacing w:after="0"/>
              <w:rPr>
                <w:sz w:val="20"/>
                <w:szCs w:val="20"/>
                <w:color w:val="auto"/>
              </w:rPr>
            </w:pPr>
            <w:r>
              <w:rPr>
                <w:rFonts w:ascii="Arial" w:cs="Arial" w:eastAsia="Arial" w:hAnsi="Arial"/>
                <w:sz w:val="18"/>
                <w:szCs w:val="18"/>
                <w:color w:val="auto"/>
              </w:rPr>
              <w:t>Janssen</w:t>
            </w:r>
          </w:p>
        </w:tc>
        <w:tc>
          <w:tcPr>
            <w:tcW w:w="1140" w:type="dxa"/>
            <w:vAlign w:val="bottom"/>
          </w:tcPr>
          <w:p>
            <w:pPr>
              <w:ind w:left="60"/>
              <w:spacing w:after="0"/>
              <w:rPr>
                <w:sz w:val="20"/>
                <w:szCs w:val="20"/>
                <w:color w:val="auto"/>
              </w:rPr>
            </w:pPr>
            <w:r>
              <w:rPr>
                <w:rFonts w:ascii="Arial" w:cs="Arial" w:eastAsia="Arial" w:hAnsi="Arial"/>
                <w:sz w:val="18"/>
                <w:szCs w:val="18"/>
                <w:color w:val="auto"/>
                <w:w w:val="92"/>
              </w:rPr>
              <w:t>Daratumumab</w:t>
            </w:r>
          </w:p>
        </w:tc>
        <w:tc>
          <w:tcPr>
            <w:tcW w:w="1200" w:type="dxa"/>
            <w:vAlign w:val="bottom"/>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Pr>
          <w:p>
            <w:pPr>
              <w:ind w:left="4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Necitumumab</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Eli Lilly</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Necitumumab</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Patritumab</w:t>
            </w:r>
          </w:p>
        </w:tc>
        <w:tc>
          <w:tcPr>
            <w:tcW w:w="1900" w:type="dxa"/>
            <w:vAlign w:val="bottom"/>
          </w:tcPr>
          <w:p>
            <w:pPr>
              <w:ind w:left="100"/>
              <w:spacing w:after="0"/>
              <w:rPr>
                <w:sz w:val="20"/>
                <w:szCs w:val="20"/>
                <w:color w:val="auto"/>
              </w:rPr>
            </w:pPr>
            <w:r>
              <w:rPr>
                <w:rFonts w:ascii="Arial" w:cs="Arial" w:eastAsia="Arial" w:hAnsi="Arial"/>
                <w:sz w:val="18"/>
                <w:szCs w:val="18"/>
                <w:color w:val="auto"/>
              </w:rPr>
              <w:t>Daiichi Sanko</w:t>
            </w:r>
          </w:p>
        </w:tc>
        <w:tc>
          <w:tcPr>
            <w:tcW w:w="1140" w:type="dxa"/>
            <w:vAlign w:val="bottom"/>
          </w:tcPr>
          <w:p>
            <w:pPr>
              <w:ind w:left="60"/>
              <w:spacing w:after="0"/>
              <w:rPr>
                <w:sz w:val="20"/>
                <w:szCs w:val="20"/>
                <w:color w:val="auto"/>
              </w:rPr>
            </w:pPr>
            <w:r>
              <w:rPr>
                <w:rFonts w:ascii="Arial" w:cs="Arial" w:eastAsia="Arial" w:hAnsi="Arial"/>
                <w:sz w:val="18"/>
                <w:szCs w:val="18"/>
                <w:color w:val="auto"/>
              </w:rPr>
              <w:t>Patritumab</w:t>
            </w:r>
          </w:p>
        </w:tc>
        <w:tc>
          <w:tcPr>
            <w:tcW w:w="1200" w:type="dxa"/>
            <w:vAlign w:val="bottom"/>
          </w:tcPr>
          <w:p>
            <w:pPr>
              <w:ind w:left="40"/>
              <w:spacing w:after="0"/>
              <w:rPr>
                <w:sz w:val="20"/>
                <w:szCs w:val="20"/>
                <w:color w:val="auto"/>
              </w:rPr>
            </w:pPr>
            <w:r>
              <w:rPr>
                <w:rFonts w:ascii="Arial" w:cs="Arial" w:eastAsia="Arial" w:hAnsi="Arial"/>
                <w:sz w:val="18"/>
                <w:szCs w:val="18"/>
                <w:color w:val="auto"/>
              </w:rPr>
              <w:t>Phase III</w:t>
            </w:r>
          </w:p>
        </w:tc>
        <w:tc>
          <w:tcPr>
            <w:tcW w:w="4220" w:type="dxa"/>
            <w:vAlign w:val="bottom"/>
          </w:tcPr>
          <w:p>
            <w:pPr>
              <w:ind w:left="40"/>
              <w:spacing w:after="0"/>
              <w:rPr>
                <w:sz w:val="20"/>
                <w:szCs w:val="20"/>
                <w:color w:val="auto"/>
              </w:rPr>
            </w:pPr>
            <w:r>
              <w:rPr>
                <w:rFonts w:ascii="Arial" w:cs="Arial" w:eastAsia="Arial" w:hAnsi="Arial"/>
                <w:sz w:val="18"/>
                <w:szCs w:val="18"/>
                <w:color w:val="auto"/>
                <w:w w:val="97"/>
              </w:rPr>
              <w:t>Non Small-Cell Lung Cancer; Head and Neck Cancer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MEDI-4736</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AstraZeneca</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MEDI-4736</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Phase III</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RG7446</w:t>
            </w:r>
          </w:p>
        </w:tc>
        <w:tc>
          <w:tcPr>
            <w:tcW w:w="1900" w:type="dxa"/>
            <w:vAlign w:val="bottom"/>
          </w:tcPr>
          <w:p>
            <w:pPr>
              <w:ind w:left="100"/>
              <w:spacing w:after="0"/>
              <w:rPr>
                <w:sz w:val="20"/>
                <w:szCs w:val="20"/>
                <w:color w:val="auto"/>
              </w:rPr>
            </w:pPr>
            <w:r>
              <w:rPr>
                <w:rFonts w:ascii="Arial" w:cs="Arial" w:eastAsia="Arial" w:hAnsi="Arial"/>
                <w:sz w:val="18"/>
                <w:szCs w:val="18"/>
                <w:color w:val="auto"/>
              </w:rPr>
              <w:t>Roche/Genentech</w:t>
            </w:r>
          </w:p>
        </w:tc>
        <w:tc>
          <w:tcPr>
            <w:tcW w:w="1140" w:type="dxa"/>
            <w:vAlign w:val="bottom"/>
          </w:tcPr>
          <w:p>
            <w:pPr>
              <w:ind w:left="60"/>
              <w:spacing w:after="0"/>
              <w:rPr>
                <w:sz w:val="20"/>
                <w:szCs w:val="20"/>
                <w:color w:val="auto"/>
              </w:rPr>
            </w:pPr>
            <w:r>
              <w:rPr>
                <w:rFonts w:ascii="Arial" w:cs="Arial" w:eastAsia="Arial" w:hAnsi="Arial"/>
                <w:sz w:val="18"/>
                <w:szCs w:val="18"/>
                <w:color w:val="auto"/>
              </w:rPr>
              <w:t>RG7446</w:t>
            </w:r>
          </w:p>
        </w:tc>
        <w:tc>
          <w:tcPr>
            <w:tcW w:w="1200" w:type="dxa"/>
            <w:vAlign w:val="bottom"/>
          </w:tcPr>
          <w:p>
            <w:pPr>
              <w:ind w:left="40"/>
              <w:spacing w:after="0"/>
              <w:rPr>
                <w:sz w:val="20"/>
                <w:szCs w:val="20"/>
                <w:color w:val="auto"/>
              </w:rPr>
            </w:pPr>
            <w:r>
              <w:rPr>
                <w:rFonts w:ascii="Arial" w:cs="Arial" w:eastAsia="Arial" w:hAnsi="Arial"/>
                <w:sz w:val="18"/>
                <w:szCs w:val="18"/>
                <w:color w:val="auto"/>
              </w:rPr>
              <w:t>Phase III</w:t>
            </w:r>
          </w:p>
        </w:tc>
        <w:tc>
          <w:tcPr>
            <w:tcW w:w="4220" w:type="dxa"/>
            <w:vAlign w:val="bottom"/>
          </w:tcPr>
          <w:p>
            <w:pPr>
              <w:ind w:left="40"/>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Cardiovascular Disease Treatments</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Novartis</w:t>
            </w:r>
          </w:p>
        </w:tc>
        <w:tc>
          <w:tcPr>
            <w:tcW w:w="114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Canakinumab</w:t>
            </w:r>
          </w:p>
        </w:tc>
        <w:tc>
          <w:tcPr>
            <w:tcW w:w="120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Phase III</w:t>
            </w:r>
          </w:p>
        </w:tc>
        <w:tc>
          <w:tcPr>
            <w:tcW w:w="4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Recurrent CV events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2"/>
              </w:rPr>
              <w:t>Pyoderma Gangrenosum Treatments</w:t>
            </w:r>
          </w:p>
        </w:tc>
        <w:tc>
          <w:tcPr>
            <w:tcW w:w="1900" w:type="dxa"/>
            <w:vAlign w:val="bottom"/>
          </w:tcPr>
          <w:p>
            <w:pPr>
              <w:ind w:left="100"/>
              <w:spacing w:after="0" w:line="176" w:lineRule="exact"/>
              <w:rPr>
                <w:sz w:val="20"/>
                <w:szCs w:val="20"/>
                <w:color w:val="auto"/>
              </w:rPr>
            </w:pPr>
            <w:r>
              <w:rPr>
                <w:rFonts w:ascii="Arial" w:cs="Arial" w:eastAsia="Arial" w:hAnsi="Arial"/>
                <w:sz w:val="18"/>
                <w:szCs w:val="18"/>
                <w:color w:val="auto"/>
              </w:rPr>
              <w:t>Xoma/Servier</w:t>
            </w:r>
          </w:p>
        </w:tc>
        <w:tc>
          <w:tcPr>
            <w:tcW w:w="1140" w:type="dxa"/>
            <w:vAlign w:val="bottom"/>
          </w:tcPr>
          <w:p>
            <w:pPr>
              <w:ind w:left="60"/>
              <w:spacing w:after="0" w:line="176" w:lineRule="exact"/>
              <w:rPr>
                <w:sz w:val="20"/>
                <w:szCs w:val="20"/>
                <w:color w:val="auto"/>
              </w:rPr>
            </w:pPr>
            <w:r>
              <w:rPr>
                <w:rFonts w:ascii="Arial" w:cs="Arial" w:eastAsia="Arial" w:hAnsi="Arial"/>
                <w:sz w:val="18"/>
                <w:szCs w:val="18"/>
                <w:color w:val="auto"/>
                <w:w w:val="96"/>
              </w:rPr>
              <w:t>Gevokizumab</w:t>
            </w:r>
          </w:p>
        </w:tc>
        <w:tc>
          <w:tcPr>
            <w:tcW w:w="1200" w:type="dxa"/>
            <w:vAlign w:val="bottom"/>
          </w:tcPr>
          <w:p>
            <w:pPr>
              <w:ind w:left="40"/>
              <w:spacing w:after="0" w:line="176" w:lineRule="exact"/>
              <w:rPr>
                <w:sz w:val="20"/>
                <w:szCs w:val="20"/>
                <w:color w:val="auto"/>
              </w:rPr>
            </w:pPr>
            <w:r>
              <w:rPr>
                <w:rFonts w:ascii="Arial" w:cs="Arial" w:eastAsia="Arial" w:hAnsi="Arial"/>
                <w:sz w:val="18"/>
                <w:szCs w:val="18"/>
                <w:color w:val="auto"/>
              </w:rPr>
              <w:t>Phase III</w:t>
            </w:r>
          </w:p>
        </w:tc>
        <w:tc>
          <w:tcPr>
            <w:tcW w:w="4220" w:type="dxa"/>
            <w:vAlign w:val="bottom"/>
          </w:tcPr>
          <w:p>
            <w:pPr>
              <w:ind w:left="40"/>
              <w:spacing w:after="0" w:line="176" w:lineRule="exact"/>
              <w:rPr>
                <w:sz w:val="20"/>
                <w:szCs w:val="20"/>
                <w:color w:val="auto"/>
              </w:rPr>
            </w:pPr>
            <w:r>
              <w:rPr>
                <w:rFonts w:ascii="Arial" w:cs="Arial" w:eastAsia="Arial" w:hAnsi="Arial"/>
                <w:sz w:val="18"/>
                <w:szCs w:val="18"/>
                <w:color w:val="auto"/>
              </w:rPr>
              <w:t>PG</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Acne or Psoriasis Treatments</w:t>
            </w:r>
          </w:p>
        </w:tc>
        <w:tc>
          <w:tcPr>
            <w:tcW w:w="700" w:type="dxa"/>
            <w:vAlign w:val="bottom"/>
            <w:tcBorders>
              <w:bottom w:val="single" w:sz="8" w:color="CCEEFF"/>
            </w:tcBorders>
            <w:gridSpan w:val="3"/>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520"/>
              <w:spacing w:after="0"/>
              <w:rPr>
                <w:sz w:val="20"/>
                <w:szCs w:val="20"/>
                <w:color w:val="auto"/>
              </w:rPr>
            </w:pPr>
            <w:r>
              <w:rPr>
                <w:rFonts w:ascii="Arial" w:cs="Arial" w:eastAsia="Arial" w:hAnsi="Arial"/>
                <w:sz w:val="18"/>
                <w:szCs w:val="18"/>
                <w:color w:val="auto"/>
              </w:rPr>
              <w:t>Secukinumab</w:t>
            </w:r>
          </w:p>
        </w:tc>
        <w:tc>
          <w:tcPr>
            <w:tcW w:w="1900" w:type="dxa"/>
            <w:vAlign w:val="bottom"/>
          </w:tcPr>
          <w:p>
            <w:pPr>
              <w:ind w:left="100"/>
              <w:spacing w:after="0"/>
              <w:rPr>
                <w:sz w:val="20"/>
                <w:szCs w:val="20"/>
                <w:color w:val="auto"/>
              </w:rPr>
            </w:pPr>
            <w:r>
              <w:rPr>
                <w:rFonts w:ascii="Arial" w:cs="Arial" w:eastAsia="Arial" w:hAnsi="Arial"/>
                <w:sz w:val="18"/>
                <w:szCs w:val="18"/>
                <w:color w:val="auto"/>
              </w:rPr>
              <w:t>Novartis</w:t>
            </w:r>
          </w:p>
        </w:tc>
        <w:tc>
          <w:tcPr>
            <w:tcW w:w="11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w w:val="96"/>
              </w:rPr>
              <w:t>FDA Approved</w:t>
            </w:r>
          </w:p>
        </w:tc>
        <w:tc>
          <w:tcPr>
            <w:tcW w:w="4220" w:type="dxa"/>
            <w:vAlign w:val="bottom"/>
          </w:tcPr>
          <w:p>
            <w:pPr>
              <w:ind w:left="40"/>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Brodalumab</w:t>
            </w: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Amgen</w:t>
            </w: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Phase III</w:t>
            </w:r>
          </w:p>
        </w:tc>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5"/>
          </w:tcPr>
          <w:p>
            <w:pPr>
              <w:ind w:left="520"/>
              <w:spacing w:after="0"/>
              <w:rPr>
                <w:sz w:val="20"/>
                <w:szCs w:val="20"/>
                <w:color w:val="auto"/>
              </w:rPr>
            </w:pPr>
            <w:r>
              <w:rPr>
                <w:rFonts w:ascii="Arial" w:cs="Arial" w:eastAsia="Arial" w:hAnsi="Arial"/>
                <w:sz w:val="18"/>
                <w:szCs w:val="18"/>
                <w:color w:val="auto"/>
              </w:rPr>
              <w:t>Guselkumab</w:t>
            </w:r>
          </w:p>
        </w:tc>
        <w:tc>
          <w:tcPr>
            <w:tcW w:w="1900" w:type="dxa"/>
            <w:vAlign w:val="bottom"/>
          </w:tcPr>
          <w:p>
            <w:pPr>
              <w:ind w:left="100"/>
              <w:spacing w:after="0"/>
              <w:rPr>
                <w:sz w:val="20"/>
                <w:szCs w:val="20"/>
                <w:color w:val="auto"/>
              </w:rPr>
            </w:pPr>
            <w:r>
              <w:rPr>
                <w:rFonts w:ascii="Arial" w:cs="Arial" w:eastAsia="Arial" w:hAnsi="Arial"/>
                <w:sz w:val="18"/>
                <w:szCs w:val="18"/>
                <w:color w:val="auto"/>
              </w:rPr>
              <w:t>Janssen</w:t>
            </w:r>
          </w:p>
        </w:tc>
        <w:tc>
          <w:tcPr>
            <w:tcW w:w="114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Phase III</w:t>
            </w:r>
          </w:p>
        </w:tc>
        <w:tc>
          <w:tcPr>
            <w:tcW w:w="4220" w:type="dxa"/>
            <w:vAlign w:val="bottom"/>
          </w:tcPr>
          <w:p>
            <w:pPr>
              <w:ind w:left="40"/>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In 2015 the immune stimulating antibodies, pembrolizumab and nivolumab, received additional approvals thus expanding their labels melanoma into additional tumor types. Both pembrolizumab and nivolumab were approved for the treatment of NSCLC after the failure of a platinum based regimen. Nivolumab was also approved for patients with advanced renal cell carcinoma after failure of prior anti-angiogenic therapy, as well as in combination with ipilimumab in patients with metastatic or unresectable melanoma. Pembrolizumab’s melanoma label was also expanded to now include first line treatment.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firstLine="441"/>
        <w:spacing w:after="0" w:line="270" w:lineRule="auto"/>
        <w:rPr>
          <w:sz w:val="20"/>
          <w:szCs w:val="20"/>
          <w:color w:val="auto"/>
        </w:rPr>
      </w:pPr>
      <w:r>
        <w:rPr>
          <w:rFonts w:ascii="Arial" w:cs="Arial" w:eastAsia="Arial" w:hAnsi="Arial"/>
          <w:sz w:val="17"/>
          <w:szCs w:val="17"/>
          <w:color w:val="auto"/>
        </w:rPr>
        <w:t>Pembrolizumab and nivolumab are anticancer agents that work by activating the immune system, such that it may stimulate an immune-mediated anti-tumor cytotoxicity. There are a number of antibodies that are in development for, or have reached the oncology market, such as ipilimumab, based on this general mechanism of action. While approvals have been forthcoming with these therapies, these agents share in common severe side effects without achieving high rates of durable remission. In advanced malignant disease, these agents have and will likely continue to achieve success in the market place. Both pembrolizumab and ipilimumab are approved for the treatment of melanoma, a disease for which we currently have no clinical development plans for Xilonix™. However, with respect to the overall competitiveness of these approaches vis-à-vis Xilonix™, our Phase III clinical programs are intended to demonstrate overall survival benefit that is generally consistent with those observed with cytotoxic therapies in refractory disease. Additionally, in the case of Xilonix™, we are also attempting to demonstrate improved life quality and physical recovery. We expect that Xilonix™ will therefore compete favorably with this new and emerging class of anti-cancer antibodies.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Investigation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Registration Study Oncology</w:t>
      </w:r>
    </w:p>
    <w:p>
      <w:pPr>
        <w:spacing w:after="0" w:line="11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the fourth quarter of 2015, we completed a double-blinded, placebo-controlled Phase III registration study in Europe. Clinical sites were located in a number of different EU member states, in addition to Russia. The study evaluated MABp1, or Xilonix™, as an anticancer therapy in patients with symptomatic colorectal cancer.</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primary objective of this study was to assess the efficacy of Xilonix™ in reversing symptoms in patients with symptomatic colorectal cancer. By blocking Interleukin-1 alpha, a cytokine involved in the growth and spread of tumors as well as a mediator of cancer associated symptoms, Xilonix™ therapy showed a statistically significant improvement in an objective response criteria as compared with placebo. This response criteria, which was developed and approved as part of the EMA Scientific Advice Procedure, evaluated a novel co-primary endpoint designed to assess clinical benefit in advanced mCRC by reversing symptoms as part of an anti-neoplastic effect.</w:t>
      </w:r>
    </w:p>
    <w:p>
      <w:pPr>
        <w:spacing w:after="0" w:line="188"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The population studied consisted of patients with mCRC and tumor associated symptoms at baseline. Tumor related symptoms were chosen that are reliably measurable and indicative of disease progression. Moreover, symptoms were identified that, in the event of improvement, would also likely predict survival benefit for patients. For the purpose of inclusion criteria, tumor related symptoms were classified in two categories: metabolic and functional. To meet the criteria of the metabolic domain of symptoms, patients were required to have either:</w:t>
      </w:r>
    </w:p>
    <w:p>
      <w:pPr>
        <w:spacing w:after="0" w:line="171"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degree of weight loss in the previous 6 months, which is known to predict shortened survival or;</w:t>
      </w:r>
    </w:p>
    <w:p>
      <w:pPr>
        <w:spacing w:after="0" w:line="225" w:lineRule="exact"/>
        <w:rPr>
          <w:rFonts w:ascii="Arial" w:cs="Arial" w:eastAsia="Arial" w:hAnsi="Arial"/>
          <w:sz w:val="18"/>
          <w:szCs w:val="18"/>
          <w:color w:val="auto"/>
        </w:rPr>
      </w:pPr>
    </w:p>
    <w:p>
      <w:pPr>
        <w:ind w:left="760" w:right="26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serum Interleukin-6 level ≥10 pg/ml. Elevated IL-6 levels, while widely used as a marker of systemic inflammation, have also been shown to correlate with shortened survival in many tumor types.</w:t>
      </w:r>
    </w:p>
    <w:p>
      <w:pPr>
        <w:spacing w:after="0" w:line="17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The EORTC QLQ-C30 is a validated quality of life instrument for assessment of cancer related symptoms. This instrument has been used in numerous oncology studies, and large meta-analyses examining patient responses have shown that a higher degree of symptoms predicts a shortened survival across all</w:t>
      </w:r>
    </w:p>
    <w:p>
      <w:pPr>
        <w:ind w:right="240"/>
        <w:spacing w:after="0" w:line="205" w:lineRule="auto"/>
        <w:rPr>
          <w:sz w:val="20"/>
          <w:szCs w:val="20"/>
          <w:color w:val="auto"/>
        </w:rPr>
      </w:pPr>
      <w:r>
        <w:rPr>
          <w:rFonts w:ascii="Arial" w:cs="Arial" w:eastAsia="Arial" w:hAnsi="Arial"/>
          <w:sz w:val="18"/>
          <w:szCs w:val="18"/>
          <w:color w:val="auto"/>
        </w:rPr>
        <w:t>tumor types</w:t>
      </w:r>
      <w:r>
        <w:rPr>
          <w:rFonts w:ascii="Arial" w:cs="Arial" w:eastAsia="Arial" w:hAnsi="Arial"/>
          <w:sz w:val="30"/>
          <w:szCs w:val="30"/>
          <w:color w:val="auto"/>
          <w:vertAlign w:val="superscript"/>
        </w:rPr>
        <w:t>5</w:t>
      </w:r>
      <w:r>
        <w:rPr>
          <w:rFonts w:ascii="Arial" w:cs="Arial" w:eastAsia="Arial" w:hAnsi="Arial"/>
          <w:sz w:val="18"/>
          <w:szCs w:val="18"/>
          <w:color w:val="auto"/>
        </w:rPr>
        <w:t>. Symptom related criteria defined as functional, while quantitated with a highly reliable and validated instrument, the EORTC QLQ-C30, are entirely self-reported.</w:t>
      </w:r>
    </w:p>
    <w:p>
      <w:pPr>
        <w:spacing w:after="0" w:line="203"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Patients included in the study were required to have evidence of one objective symptom from the metabolic domain, and one self-reported symptom from the functional domain. In addition, only those patients with performance status of 1 or 2, as measured by the Eastern Cooperative Oncology Group (ECOG) scale, were eligible for entry. Together, these inclusion criteria selected for a uniquely advanced and frail population.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2" w:name="page13"/>
    <w:bookmarkEnd w:id="12"/>
    <w:p>
      <w:pPr>
        <w:ind w:right="100" w:firstLine="441"/>
        <w:spacing w:after="0" w:line="279" w:lineRule="auto"/>
        <w:rPr>
          <w:sz w:val="20"/>
          <w:szCs w:val="20"/>
          <w:color w:val="auto"/>
        </w:rPr>
      </w:pPr>
      <w:r>
        <w:rPr>
          <w:rFonts w:ascii="Arial" w:cs="Arial" w:eastAsia="Arial" w:hAnsi="Arial"/>
          <w:sz w:val="17"/>
          <w:szCs w:val="17"/>
          <w:color w:val="auto"/>
        </w:rPr>
        <w:t>For the co-primary endpoints, patients were assessed for stabilization or improvements in lean body mass, as measured by DEXA, combined with an assessment of patient well-being with respect to pain, fatigue and/or appetite loss. Specifically, stabilization or a gain in lean body mass at the 8-week follow up combined with improvement or no worsening in two of the latter measures of patient well-being, as measured by the validated EORTC QLQ-C30 questionnaire. To be considered a responder for the primary endpoint, a patient needs to meet both response criteria.</w:t>
      </w:r>
    </w:p>
    <w:p>
      <w:pPr>
        <w:spacing w:after="0" w:line="17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study started in July 2014, completed in November 2015, and enrolled a total of 333 patients. The data cleaning, conducted shortly after the completion of the study, showed that fewer than expected patients were available for data analysis. We presented a short overview of these findings in a press release on November 23, 2015. As per the prospective analysis plan, the data from 24 patients was excluded from final analysis of the data as they discontinued study prior to receiving a single dose of either Xilonix™ or placebo. Because the study endpoints were satisfactorily achieved, we proceeded to submit a Marketing Authorization Application package to the European Medicines Agency (EMA) on March 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Registration Study Oncology</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A Phase III randomized study using Xilonix™ was started in March 2013 (IND #114,759). The study, which was recruiting patients at over sixty cancer centers in the United States was halted by us in September 2014 to propose changes in inclusion criteria to the FDA to enable faster patient recruitment. Amendments were proposed and agreed to by the FDA in order to correct what we believed to be unnecessary enrollment barriers.</w:t>
      </w:r>
    </w:p>
    <w:p>
      <w:pPr>
        <w:spacing w:after="0" w:line="16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Changes to the study protocol included eliminating the 5% weight loss requirement for patients and terminating the use of megesterol acetate (megace) in the control arm. The new agreed upon protocol will enable recruitment of all advanced, refractory colorectal patients regardless of weight loss, and use a 2:1 double-blinded randomization against placebo rather than a 1:1 randomization against megace. Treatment of patients under the new protocol commenced in April 2015. Enrollment under the revised protocol is expected to be completed in the second half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Pyoderma Gangrenosum (PG)</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 phase II open-label exploratory study is underway to evaluate MABp1 for treatment of the rare skin disorder PG (IND # 112,459). PG is a chronic condition characterized by inflamed, non-healing skin ulcerations. The study is evaluating safety and efficacy of the therapy to facilitate wound healing and is being conducted at 5 sites in the United States. Primary endpoints of study involve clinicians’ and patients’ global assessment at day 28 from baseline. Patients who are found to be responding to therapy, but who have not yet experienced complete resolution of their lesion(s) after 28 days of therapy may participate in up to 3 additional 28-day cycles. Up to 10 patients will be enrolled on this trial, and enrollment is expected to be complete in the first half of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and II Study for Staphylococcus Aureus</w:t>
      </w:r>
    </w:p>
    <w:p>
      <w:pPr>
        <w:spacing w:after="0" w:line="11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We filed an Investigational New Drug Application (IND) for a Phase I and II randomized clinical study to assess our True Human™ Antibody therapy for the treatment of serious infections due to Staphylococcus </w:t>
      </w:r>
      <w:r>
        <w:rPr>
          <w:rFonts w:ascii="Arial" w:cs="Arial" w:eastAsia="Arial" w:hAnsi="Arial"/>
          <w:sz w:val="16"/>
          <w:szCs w:val="16"/>
          <w:i w:val="1"/>
          <w:iCs w:val="1"/>
          <w:color w:val="auto"/>
        </w:rPr>
        <w:t>aureus.</w:t>
      </w:r>
      <w:r>
        <w:rPr>
          <w:rFonts w:ascii="Arial" w:cs="Arial" w:eastAsia="Arial" w:hAnsi="Arial"/>
          <w:sz w:val="16"/>
          <w:szCs w:val="16"/>
          <w:color w:val="auto"/>
        </w:rPr>
        <w:t xml:space="preserve"> This product candidate was identified from an individual that harbored a natural antibody capable of neutralizing S. </w:t>
      </w:r>
      <w:r>
        <w:rPr>
          <w:rFonts w:ascii="Arial" w:cs="Arial" w:eastAsia="Arial" w:hAnsi="Arial"/>
          <w:sz w:val="16"/>
          <w:szCs w:val="16"/>
          <w:i w:val="1"/>
          <w:iCs w:val="1"/>
          <w:color w:val="auto"/>
        </w:rPr>
        <w:t>aureus,</w:t>
      </w:r>
      <w:r>
        <w:rPr>
          <w:rFonts w:ascii="Arial" w:cs="Arial" w:eastAsia="Arial" w:hAnsi="Arial"/>
          <w:sz w:val="16"/>
          <w:szCs w:val="16"/>
          <w:color w:val="auto"/>
        </w:rPr>
        <w:t xml:space="preserve"> including drug-resistant strains of the bacteria. The study is currently progressing through Phase I and II after being on clinical hold, at the request of the FDA, as we completed an animal toxicology study. The animal study was completed in the first quarter of 2015. The Phase I, dose escalation, portion of the study began in July 2015. The Phase II portion of the study is expected to be completed in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Non-Small-Cell Lung Cancer (NSCLC)</w:t>
      </w:r>
    </w:p>
    <w:p>
      <w:pPr>
        <w:spacing w:after="0" w:line="117" w:lineRule="exact"/>
        <w:rPr>
          <w:sz w:val="20"/>
          <w:szCs w:val="20"/>
          <w:color w:val="auto"/>
        </w:rPr>
      </w:pPr>
    </w:p>
    <w:p>
      <w:pPr>
        <w:ind w:right="80" w:firstLine="441"/>
        <w:spacing w:after="0" w:line="257" w:lineRule="auto"/>
        <w:rPr>
          <w:sz w:val="20"/>
          <w:szCs w:val="20"/>
          <w:color w:val="auto"/>
        </w:rPr>
      </w:pPr>
      <w:r>
        <w:rPr>
          <w:rFonts w:ascii="Arial" w:cs="Arial" w:eastAsia="Arial" w:hAnsi="Arial"/>
          <w:sz w:val="17"/>
          <w:szCs w:val="17"/>
          <w:color w:val="auto"/>
        </w:rPr>
        <w:t>We entered into a Letter of Agreement at the end of 2015 with the National Cancer Institute of Canada Clinical Trials Group to develop and help facilitate a Phase II study to assess Xilonix</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combination with Tarceva for the treatment of NSCLC. The protocol is still under development, and is expected to launch in Canada and begin enrollment in Q2 2016. This study is a follow up to the Phase I study enrolling all comers in a solid tumor study at MD Anderson Cancer Center in Houston, Texas. In particular, the data collected from a subgroup of NSCLC patients were published in </w:t>
      </w:r>
      <w:r>
        <w:rPr>
          <w:rFonts w:ascii="Arial" w:cs="Arial" w:eastAsia="Arial" w:hAnsi="Arial"/>
          <w:sz w:val="17"/>
          <w:szCs w:val="17"/>
          <w:i w:val="1"/>
          <w:iCs w:val="1"/>
          <w:color w:val="auto"/>
        </w:rPr>
        <w:t>Investigational 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Drugs </w:t>
      </w:r>
      <w:r>
        <w:rPr>
          <w:rFonts w:ascii="Arial" w:cs="Arial" w:eastAsia="Arial" w:hAnsi="Arial"/>
          <w:sz w:val="17"/>
          <w:szCs w:val="17"/>
          <w:color w:val="auto"/>
        </w:rPr>
        <w:t>in March 2015. These results highlighted the potential for combination therapy in NSCLC patients treated with EGFR inhibitors. In the MD Anderson</w:t>
      </w:r>
      <w:r>
        <w:rPr>
          <w:rFonts w:ascii="Arial" w:cs="Arial" w:eastAsia="Arial" w:hAnsi="Arial"/>
          <w:sz w:val="17"/>
          <w:szCs w:val="17"/>
          <w:i w:val="1"/>
          <w:iCs w:val="1"/>
          <w:color w:val="auto"/>
        </w:rPr>
        <w:t xml:space="preserve"> </w:t>
      </w:r>
      <w:r>
        <w:rPr>
          <w:rFonts w:ascii="Arial" w:cs="Arial" w:eastAsia="Arial" w:hAnsi="Arial"/>
          <w:sz w:val="17"/>
          <w:szCs w:val="17"/>
          <w:color w:val="auto"/>
        </w:rPr>
        <w:t>study NSCLC patients had metastatic, refractory disease at baseline and were treated with Xilonix™ monotherapy until disease progression. Patients that received prior treatment with Tarceva appeared to have considerably better outcomes than those that had not received Tarceva. In the study, radiographic evidence of tumor response, changes in lean body mass and quality of life were assessed and patients were followed for 24 months for survival analysis. Furthermore, stratification by prior therapies revealed a median overall survival for patients treated with anti-EGFR therapy of 9.4 months compared to only 4.8 months for non-pretreated patients.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Cardiovascular Disease</w:t>
      </w:r>
    </w:p>
    <w:p>
      <w:pPr>
        <w:spacing w:after="0" w:line="117" w:lineRule="exact"/>
        <w:rPr>
          <w:sz w:val="20"/>
          <w:szCs w:val="20"/>
          <w:color w:val="auto"/>
        </w:rPr>
      </w:pPr>
    </w:p>
    <w:p>
      <w:pPr>
        <w:ind w:right="340" w:firstLine="441"/>
        <w:spacing w:after="0" w:line="257" w:lineRule="auto"/>
        <w:rPr>
          <w:sz w:val="20"/>
          <w:szCs w:val="20"/>
          <w:color w:val="auto"/>
        </w:rPr>
      </w:pPr>
      <w:r>
        <w:rPr>
          <w:rFonts w:ascii="Arial" w:cs="Arial" w:eastAsia="Arial" w:hAnsi="Arial"/>
          <w:sz w:val="18"/>
          <w:szCs w:val="18"/>
          <w:color w:val="auto"/>
        </w:rPr>
        <w:t>In the first quarter of 2016, we announced a Material Transfer Agreement (MTA) with Brigham and Women’s Hospital and Massachusetts General Hospital. XBiotech will provide Antibodies to block the inflammatory mediator interleukin 1 alpha while Novartis Pharmaceuticals will provide an interleukin 1 beta antibody to a research team headed by cardiovascular medicine specialist Dr. Peter Libby. The research team will conduct pre-clinical studies to assess the potential of these antibodies to reduce injury to the heart muscle after heart attack, as well as comparing the treatment effects of these antibodies on inflammation in atherosclerotic plaques.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Clinical Findings to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Our lead product under development, MABp1, is derived from a natural human immune response. We expected that this would facilitate better tolerability when used as a therapeutic compared to humanized or “fully human” monoclonal antibodies. Antibody therapies are known to be associated with significant risk for infusion reactions, including serious anaphylactic reactions. We believe that these reactions are the result of using antibodies that were not derived from natural human immunity but rather had engineered specificities. Based on scientific principles of antibody physiology, a fundamentally</w:t>
      </w:r>
    </w:p>
    <w:p>
      <w:pPr>
        <w:spacing w:after="0" w:line="2" w:lineRule="exact"/>
        <w:rPr>
          <w:sz w:val="20"/>
          <w:szCs w:val="20"/>
          <w:color w:val="auto"/>
        </w:rPr>
      </w:pPr>
    </w:p>
    <w:p>
      <w:pPr>
        <w:ind w:right="380"/>
        <w:spacing w:after="0" w:line="205" w:lineRule="auto"/>
        <w:rPr>
          <w:sz w:val="20"/>
          <w:szCs w:val="20"/>
          <w:color w:val="auto"/>
        </w:rPr>
      </w:pPr>
      <w:r>
        <w:rPr>
          <w:rFonts w:ascii="Arial" w:cs="Arial" w:eastAsia="Arial" w:hAnsi="Arial"/>
          <w:sz w:val="18"/>
          <w:szCs w:val="18"/>
          <w:color w:val="auto"/>
        </w:rPr>
        <w:t>important premise was that our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therapy should be safer and result in less infusion-related complications than engineered human antibodies when used in clinical studies.</w:t>
      </w:r>
    </w:p>
    <w:p>
      <w:pPr>
        <w:spacing w:after="0" w:line="203"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As illustrated in the table below, therapeutic monoclonal antibodies, even those so-called “fully human,” have been associated with infusion reactions (see table below). Over 2000 doses of MABp1 have been administered to more than 300 patients in nine different clinical trials. As of March 3, 2016, there have been 2 infusion reactions with MABp1.</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Reports of Infusions Reactions from Leading marketed “Fully Human” Antibody Products Versus MABp1 (Table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Fully Human Antibodies</w:t>
            </w:r>
          </w:p>
        </w:tc>
        <w:tc>
          <w:tcPr>
            <w:tcW w:w="34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Target</w:t>
            </w: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Incidence of Infusion Reactions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Trastuzumab</w:t>
            </w:r>
          </w:p>
        </w:tc>
        <w:tc>
          <w:tcPr>
            <w:tcW w:w="3440" w:type="dxa"/>
            <w:vAlign w:val="bottom"/>
          </w:tcPr>
          <w:p>
            <w:pPr>
              <w:ind w:left="2440"/>
              <w:spacing w:after="0"/>
              <w:rPr>
                <w:sz w:val="20"/>
                <w:szCs w:val="20"/>
                <w:color w:val="auto"/>
              </w:rPr>
            </w:pPr>
            <w:r>
              <w:rPr>
                <w:rFonts w:ascii="Arial" w:cs="Arial" w:eastAsia="Arial" w:hAnsi="Arial"/>
                <w:sz w:val="18"/>
                <w:szCs w:val="18"/>
                <w:color w:val="auto"/>
              </w:rPr>
              <w:t>HER-2</w:t>
            </w:r>
          </w:p>
        </w:tc>
        <w:tc>
          <w:tcPr>
            <w:tcW w:w="4260" w:type="dxa"/>
            <w:vAlign w:val="bottom"/>
          </w:tcPr>
          <w:p>
            <w:pPr>
              <w:ind w:lef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Alemtuzumab</w:t>
            </w:r>
          </w:p>
        </w:tc>
        <w:tc>
          <w:tcPr>
            <w:tcW w:w="34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CD52</w:t>
            </w: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10-35% had Grade ³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Natalizumab</w:t>
            </w:r>
          </w:p>
        </w:tc>
        <w:tc>
          <w:tcPr>
            <w:tcW w:w="3440" w:type="dxa"/>
            <w:vAlign w:val="bottom"/>
          </w:tcPr>
          <w:p>
            <w:pPr>
              <w:ind w:left="2440"/>
              <w:spacing w:after="0"/>
              <w:rPr>
                <w:sz w:val="20"/>
                <w:szCs w:val="20"/>
                <w:color w:val="auto"/>
              </w:rPr>
            </w:pPr>
            <w:r>
              <w:rPr>
                <w:rFonts w:ascii="Arial" w:cs="Arial" w:eastAsia="Arial" w:hAnsi="Arial"/>
                <w:sz w:val="18"/>
                <w:szCs w:val="18"/>
                <w:color w:val="auto"/>
              </w:rPr>
              <w:t>a4-integrin</w:t>
            </w:r>
          </w:p>
        </w:tc>
        <w:tc>
          <w:tcPr>
            <w:tcW w:w="4260" w:type="dxa"/>
            <w:vAlign w:val="bottom"/>
          </w:tcPr>
          <w:p>
            <w:pPr>
              <w:ind w:left="2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Tocilizumab</w:t>
            </w:r>
          </w:p>
        </w:tc>
        <w:tc>
          <w:tcPr>
            <w:tcW w:w="34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IL-6</w:t>
            </w: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 Fatal Anaphylaxis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Bevacizumab</w:t>
            </w:r>
          </w:p>
        </w:tc>
        <w:tc>
          <w:tcPr>
            <w:tcW w:w="3440" w:type="dxa"/>
            <w:vAlign w:val="bottom"/>
          </w:tcPr>
          <w:p>
            <w:pPr>
              <w:ind w:left="2440"/>
              <w:spacing w:after="0"/>
              <w:rPr>
                <w:sz w:val="20"/>
                <w:szCs w:val="20"/>
                <w:color w:val="auto"/>
              </w:rPr>
            </w:pPr>
            <w:r>
              <w:rPr>
                <w:rFonts w:ascii="Arial" w:cs="Arial" w:eastAsia="Arial" w:hAnsi="Arial"/>
                <w:sz w:val="18"/>
                <w:szCs w:val="18"/>
                <w:color w:val="auto"/>
              </w:rPr>
              <w:t>VEGF</w:t>
            </w:r>
          </w:p>
        </w:tc>
        <w:tc>
          <w:tcPr>
            <w:tcW w:w="4260" w:type="dxa"/>
            <w:vAlign w:val="bottom"/>
          </w:tcPr>
          <w:p>
            <w:pPr>
              <w:ind w:lef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00" w:type="dxa"/>
            <w:vAlign w:val="bottom"/>
          </w:tcPr>
          <w:p>
            <w:pPr>
              <w:spacing w:after="0" w:line="256" w:lineRule="exact"/>
              <w:rPr>
                <w:sz w:val="20"/>
                <w:szCs w:val="20"/>
                <w:color w:val="auto"/>
              </w:rPr>
            </w:pPr>
            <w:r>
              <w:rPr>
                <w:rFonts w:ascii="Arial" w:cs="Arial" w:eastAsia="Arial" w:hAnsi="Arial"/>
                <w:sz w:val="18"/>
                <w:szCs w:val="18"/>
                <w:color w:val="auto"/>
              </w:rPr>
              <w:t>True Human</w:t>
            </w:r>
            <w:r>
              <w:rPr>
                <w:rFonts w:ascii="Arial" w:cs="Arial" w:eastAsia="Arial" w:hAnsi="Arial"/>
                <w:sz w:val="29"/>
                <w:szCs w:val="29"/>
                <w:color w:val="auto"/>
                <w:vertAlign w:val="superscript"/>
              </w:rPr>
              <w:t>TM</w:t>
            </w:r>
          </w:p>
        </w:tc>
        <w:tc>
          <w:tcPr>
            <w:tcW w:w="34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Xilonix™</w:t>
            </w:r>
          </w:p>
        </w:tc>
        <w:tc>
          <w:tcPr>
            <w:tcW w:w="34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IL-1a</w:t>
            </w: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0.0005%</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40" w:type="dxa"/>
            <w:vAlign w:val="bottom"/>
          </w:tcPr>
          <w:p>
            <w:pPr>
              <w:ind w:left="1900"/>
              <w:spacing w:after="0"/>
              <w:rPr>
                <w:sz w:val="20"/>
                <w:szCs w:val="20"/>
                <w:color w:val="auto"/>
              </w:rPr>
            </w:pPr>
            <w:r>
              <w:rPr>
                <w:rFonts w:ascii="Arial" w:cs="Arial" w:eastAsia="Arial" w:hAnsi="Arial"/>
                <w:sz w:val="18"/>
                <w:szCs w:val="18"/>
                <w:color w:val="auto"/>
              </w:rPr>
              <w:t>14</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shd w:val="clear" w:color="auto" w:fill="000000"/>
          </w:tcPr>
          <w:p>
            <w:pPr>
              <w:spacing w:after="0"/>
              <w:rPr>
                <w:sz w:val="5"/>
                <w:szCs w:val="5"/>
                <w:color w:val="auto"/>
              </w:rPr>
            </w:pPr>
          </w:p>
        </w:tc>
        <w:tc>
          <w:tcPr>
            <w:tcW w:w="34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Completed Phase III Double-Blinded Placebo Controlled Study for Xilonix</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in Colorectal Cancer</w:t>
      </w:r>
    </w:p>
    <w:p>
      <w:pPr>
        <w:spacing w:after="0" w:line="36"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The Phase III study succeeded with respect to the prospective primary </w:t>
      </w:r>
      <w:r>
        <w:rPr>
          <w:rFonts w:ascii="Arial" w:cs="Arial" w:eastAsia="Arial" w:hAnsi="Arial"/>
          <w:sz w:val="16"/>
          <w:szCs w:val="16"/>
          <w:i w:val="1"/>
          <w:iCs w:val="1"/>
          <w:color w:val="auto"/>
        </w:rPr>
        <w:t>and</w:t>
      </w:r>
      <w:r>
        <w:rPr>
          <w:rFonts w:ascii="Arial" w:cs="Arial" w:eastAsia="Arial" w:hAnsi="Arial"/>
          <w:sz w:val="16"/>
          <w:szCs w:val="16"/>
          <w:color w:val="auto"/>
        </w:rPr>
        <w:t xml:space="preserve"> secondary endpoints for Xilonix therapy in patients with advanced colorectal cancer. A Marketing Authorization Application (MAA) has been submitted to the European Medicines Agency to seek approval for sale in Europe.</w:t>
      </w:r>
    </w:p>
    <w:p>
      <w:pPr>
        <w:spacing w:after="0" w:line="32"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Patients enrolled in the Phase III study had metastatic or unresectable colorectal cancer after failure or intolerabilty of oxaloplatin or irinotecan regimens. Many patients had also failed additional other therapies. Xilonix therapy showed excellent safety and tolerability in this advanced, even infirm population, where patients had multiple symptoms, functional impairment, and included individuals over 70 years of age.</w:t>
      </w:r>
    </w:p>
    <w:p>
      <w:pPr>
        <w:spacing w:after="0" w:line="61"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Colorectal cancer is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leading cause of cancer in the industrialized world and at least half of patients diagnosed will succumb to the disease. Incidence of colorectal cancer parallels economic development, and with economic growth the incidence is rising worldwide. Since currently half of all patients diagnosed with the disease will progress to advanced, metastatic disease and ultimately succumb to the disease, there is a substantial and growing unmet medical need for a therapy for patients with advanced colorectal cancer. Xilonix is the first anti-tumor therapy developed to address specific disease-related morbidities of advanced colorectal cancer.</w:t>
      </w:r>
    </w:p>
    <w:p>
      <w:pPr>
        <w:spacing w:after="0" w:line="9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Xilonix has continually showed an absence of frank toxicity, and in the Phase III colorectal cancer study the antibody acted to reduce progression of morbidity associated with advanced colorectal cancer. Notably, the therapy mediated its anti-cancer activity without apparent compromise to host immunity, thereby eliminating what has been one of the most important and troubling risk factors for anti-cancer therapy in advanced disease.</w:t>
      </w:r>
    </w:p>
    <w:p>
      <w:pPr>
        <w:spacing w:after="0" w:line="3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Phase III study was specifically designed to evaluate therapy in a group of patients with advanced colorectal cancer. Patients enrolled were required to have multiple symptoms of disease—each correlating with poor prognosis. Symptoms included: weight loss or elevated systemic inflammation, pain, fatigue or anorexia; and also to have functional impairment, as defined by an ECOG status 1 or 2 and included individuals beyond 70 years of age.</w:t>
      </w:r>
    </w:p>
    <w:p>
      <w:pPr>
        <w:spacing w:after="0" w:line="3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Phase III primary endpoint to determine efficacy was based demonstrating an improved objective response rate for Xilonix therapy. For the 309 patients that received at least one dose of either Xilonix or placebo, there was a 76% relative improvement in objective response rate for patients receiving test article compared to placebo (p=0.0045). The secondary endpoints in the study were important were established prognosticators of overall survival, namely a measure of paraneoplastic thrombocytosis and systemic inflammation. Xilonix treated patients had an 80% reduction in thrombocytosis (p=0.003), and a 60% reduction in systemic inflammation (p=0.004) compared to placebo, respectively.</w:t>
      </w:r>
    </w:p>
    <w:p>
      <w:pPr>
        <w:spacing w:after="0" w:line="6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to the planned primary and secondary analyses, patients treated with Xilonix were found to be 53% more likely to have stable disease compared to placebo. There was also a 26% reduction in the incidence of Serious Adverse Events (SAEs) in the treatment arm compared to placebo. We are not aware of previous reports for anti-tumour therapy in advanced disease where an effect has been seen with respect to control of disease-related morbidity. Similarly, we are not aware of a previous report of a reduction in SAEs for an anti-tumour therapy compared to a placebo control population (See Table).</w:t>
      </w:r>
    </w:p>
    <w:p>
      <w:pPr>
        <w:spacing w:after="0" w:line="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the clinical evidence supports the use of Xilonix as a novel therapy for the treatment of advanced colorectal cancer and thus a marketing authorization application has been submitted to the regulatory authorities in Europe. The unique mechanism of action and novel clinical findings suggest a breakthrough anti-tumor therapy to address significant unmet medical needs—namely for treating patients with advanced colorectal cancer that have failed or cannot further tolerate cytotoxic regimens.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Table: Primary, Secondary and Tertiary Analysis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right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ITT Population (n=102 vs. 207)</w:t>
            </w:r>
          </w:p>
        </w:tc>
        <w:tc>
          <w:tcPr>
            <w:tcW w:w="1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72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8"/>
                <w:szCs w:val="18"/>
                <w:b w:val="1"/>
                <w:bCs w:val="1"/>
                <w:color w:val="auto"/>
              </w:rPr>
              <w:t>Primary Efficacy Analysis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Placebo</w:t>
            </w:r>
          </w:p>
        </w:tc>
        <w:tc>
          <w:tcPr>
            <w:tcW w:w="1160" w:type="dxa"/>
            <w:vAlign w:val="bottom"/>
            <w:vMerge w:val="restart"/>
          </w:tcPr>
          <w:p>
            <w:pPr>
              <w:jc w:val="center"/>
              <w:ind w:left="210"/>
              <w:spacing w:after="0"/>
              <w:rPr>
                <w:sz w:val="20"/>
                <w:szCs w:val="20"/>
                <w:color w:val="auto"/>
              </w:rPr>
            </w:pPr>
            <w:r>
              <w:rPr>
                <w:rFonts w:ascii="Arial" w:cs="Arial" w:eastAsia="Arial" w:hAnsi="Arial"/>
                <w:sz w:val="18"/>
                <w:szCs w:val="18"/>
                <w:color w:val="auto"/>
              </w:rPr>
              <w:t>Xilonix</w:t>
            </w:r>
          </w:p>
        </w:tc>
        <w:tc>
          <w:tcPr>
            <w:tcW w:w="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Relative</w:t>
            </w: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Placebo</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Xilonix</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Increase in</w:t>
            </w: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Responders</w:t>
            </w:r>
          </w:p>
        </w:tc>
        <w:tc>
          <w:tcPr>
            <w:tcW w:w="1160" w:type="dxa"/>
            <w:vAlign w:val="bottom"/>
            <w:vMerge w:val="restart"/>
          </w:tcPr>
          <w:p>
            <w:pPr>
              <w:jc w:val="center"/>
              <w:ind w:left="190"/>
              <w:spacing w:after="0"/>
              <w:rPr>
                <w:sz w:val="20"/>
                <w:szCs w:val="20"/>
                <w:color w:val="auto"/>
              </w:rPr>
            </w:pPr>
            <w:r>
              <w:rPr>
                <w:rFonts w:ascii="Arial" w:cs="Arial" w:eastAsia="Arial" w:hAnsi="Arial"/>
                <w:sz w:val="18"/>
                <w:szCs w:val="18"/>
                <w:color w:val="auto"/>
                <w:w w:val="86"/>
              </w:rPr>
              <w:t>Responders</w:t>
            </w:r>
          </w:p>
        </w:tc>
        <w:tc>
          <w:tcPr>
            <w:tcW w:w="32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5"/>
              </w:rPr>
              <w:t>p Value</w:t>
            </w:r>
          </w:p>
        </w:tc>
        <w:tc>
          <w:tcPr>
            <w:tcW w:w="0" w:type="dxa"/>
            <w:vAlign w:val="bottom"/>
          </w:tcPr>
          <w:p>
            <w:pPr>
              <w:spacing w:after="0"/>
              <w:rPr>
                <w:sz w:val="1"/>
                <w:szCs w:val="1"/>
                <w:color w:val="auto"/>
              </w:rPr>
            </w:pPr>
          </w:p>
        </w:tc>
      </w:tr>
      <w:tr>
        <w:trPr>
          <w:trHeight w:val="176"/>
        </w:trPr>
        <w:tc>
          <w:tcPr>
            <w:tcW w:w="372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Responders (%)</w:t>
            </w:r>
          </w:p>
        </w:tc>
        <w:tc>
          <w:tcPr>
            <w:tcW w:w="14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Responders (%)</w:t>
            </w:r>
          </w:p>
        </w:tc>
        <w:tc>
          <w:tcPr>
            <w:tcW w:w="12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Response Rate</w:t>
            </w:r>
          </w:p>
        </w:tc>
        <w:tc>
          <w:tcPr>
            <w:tcW w:w="5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(n)</w:t>
            </w:r>
          </w:p>
        </w:tc>
        <w:tc>
          <w:tcPr>
            <w:tcW w:w="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Xilonix</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72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Responders</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16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68</w:t>
            </w:r>
          </w:p>
        </w:tc>
        <w:tc>
          <w:tcPr>
            <w:tcW w:w="320" w:type="dxa"/>
            <w:vAlign w:val="bottom"/>
            <w:tcBorders>
              <w:bottom w:val="single" w:sz="8" w:color="auto"/>
              <w:right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76%</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0.0045</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Secondary Analysis</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Placebo</w:t>
            </w:r>
          </w:p>
        </w:tc>
        <w:tc>
          <w:tcPr>
            <w:tcW w:w="11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rPr>
              <w:t>Xilonix</w:t>
            </w:r>
          </w:p>
        </w:tc>
        <w:tc>
          <w:tcPr>
            <w:tcW w:w="32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Placebo (%)</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Xilonix (%)</w:t>
            </w:r>
          </w:p>
        </w:tc>
        <w:tc>
          <w:tcPr>
            <w:tcW w:w="12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Relative Change</w:t>
            </w:r>
          </w:p>
        </w:tc>
        <w:tc>
          <w:tcPr>
            <w:tcW w:w="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p Value</w:t>
            </w: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460" w:type="dxa"/>
            <w:vAlign w:val="bottom"/>
            <w:tcBorders>
              <w:right w:val="single" w:sz="8" w:color="auto"/>
            </w:tcBorders>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20" w:type="dxa"/>
            <w:vAlign w:val="bottom"/>
            <w:tcBorders>
              <w:right w:val="single" w:sz="8" w:color="auto"/>
            </w:tcBorders>
            <w:shd w:val="clear" w:color="auto" w:fill="CCEEFF"/>
          </w:tcPr>
          <w:p>
            <w:pPr>
              <w:spacing w:after="0"/>
              <w:rPr>
                <w:sz w:val="8"/>
                <w:szCs w:val="8"/>
                <w:color w:val="auto"/>
              </w:rPr>
            </w:pPr>
          </w:p>
        </w:tc>
        <w:tc>
          <w:tcPr>
            <w:tcW w:w="1480" w:type="dxa"/>
            <w:vAlign w:val="bottom"/>
            <w:tcBorders>
              <w:right w:val="single" w:sz="8" w:color="auto"/>
            </w:tcBorders>
            <w:shd w:val="clear" w:color="auto" w:fill="CCEEFF"/>
          </w:tcPr>
          <w:p>
            <w:pPr>
              <w:spacing w:after="0"/>
              <w:rPr>
                <w:sz w:val="8"/>
                <w:szCs w:val="8"/>
                <w:color w:val="auto"/>
              </w:rPr>
            </w:pPr>
          </w:p>
        </w:tc>
        <w:tc>
          <w:tcPr>
            <w:tcW w:w="1460" w:type="dxa"/>
            <w:vAlign w:val="bottom"/>
            <w:tcBorders>
              <w:right w:val="single" w:sz="8" w:color="auto"/>
            </w:tcBorders>
            <w:shd w:val="clear" w:color="auto" w:fill="CCEEFF"/>
          </w:tcPr>
          <w:p>
            <w:pPr>
              <w:spacing w:after="0"/>
              <w:rPr>
                <w:sz w:val="8"/>
                <w:szCs w:val="8"/>
                <w:color w:val="auto"/>
              </w:rPr>
            </w:pPr>
          </w:p>
        </w:tc>
        <w:tc>
          <w:tcPr>
            <w:tcW w:w="1260" w:type="dxa"/>
            <w:vAlign w:val="bottom"/>
            <w:tcBorders>
              <w:right w:val="single" w:sz="8" w:color="auto"/>
            </w:tcBorders>
            <w:shd w:val="clear" w:color="auto" w:fill="CCEEFF"/>
          </w:tcPr>
          <w:p>
            <w:pPr>
              <w:spacing w:after="0"/>
              <w:rPr>
                <w:sz w:val="8"/>
                <w:szCs w:val="8"/>
                <w:color w:val="auto"/>
              </w:rPr>
            </w:pPr>
          </w:p>
        </w:tc>
        <w:tc>
          <w:tcPr>
            <w:tcW w:w="56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1460" w:type="dxa"/>
            <w:vAlign w:val="bottom"/>
            <w:tcBorders>
              <w:bottom w:val="single" w:sz="8" w:color="auto"/>
              <w:right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right w:val="single" w:sz="8" w:color="auto"/>
            </w:tcBorders>
            <w:shd w:val="clear" w:color="auto" w:fill="CCEEFF"/>
          </w:tcPr>
          <w:p>
            <w:pPr>
              <w:spacing w:after="0"/>
              <w:rPr>
                <w:sz w:val="9"/>
                <w:szCs w:val="9"/>
                <w:color w:val="auto"/>
              </w:rPr>
            </w:pPr>
          </w:p>
        </w:tc>
        <w:tc>
          <w:tcPr>
            <w:tcW w:w="1480" w:type="dxa"/>
            <w:vAlign w:val="bottom"/>
            <w:tcBorders>
              <w:bottom w:val="single" w:sz="8" w:color="auto"/>
              <w:right w:val="single" w:sz="8" w:color="auto"/>
            </w:tcBorders>
            <w:shd w:val="clear" w:color="auto" w:fill="CCEEFF"/>
          </w:tcPr>
          <w:p>
            <w:pPr>
              <w:spacing w:after="0"/>
              <w:rPr>
                <w:sz w:val="9"/>
                <w:szCs w:val="9"/>
                <w:color w:val="auto"/>
              </w:rPr>
            </w:pPr>
          </w:p>
        </w:tc>
        <w:tc>
          <w:tcPr>
            <w:tcW w:w="1460" w:type="dxa"/>
            <w:vAlign w:val="bottom"/>
            <w:tcBorders>
              <w:bottom w:val="single" w:sz="8" w:color="auto"/>
              <w:right w:val="single" w:sz="8" w:color="auto"/>
            </w:tcBorders>
            <w:shd w:val="clear" w:color="auto" w:fill="CCEEFF"/>
          </w:tcPr>
          <w:p>
            <w:pPr>
              <w:spacing w:after="0"/>
              <w:rPr>
                <w:sz w:val="9"/>
                <w:szCs w:val="9"/>
                <w:color w:val="auto"/>
              </w:rPr>
            </w:pPr>
          </w:p>
        </w:tc>
        <w:tc>
          <w:tcPr>
            <w:tcW w:w="1260" w:type="dxa"/>
            <w:vAlign w:val="bottom"/>
            <w:tcBorders>
              <w:bottom w:val="single" w:sz="8" w:color="auto"/>
              <w:right w:val="single" w:sz="8" w:color="auto"/>
            </w:tcBorders>
            <w:shd w:val="clear" w:color="auto" w:fill="CCEEFF"/>
          </w:tcPr>
          <w:p>
            <w:pPr>
              <w:spacing w:after="0"/>
              <w:rPr>
                <w:sz w:val="9"/>
                <w:szCs w:val="9"/>
                <w:color w:val="auto"/>
              </w:rPr>
            </w:pPr>
          </w:p>
        </w:tc>
        <w:tc>
          <w:tcPr>
            <w:tcW w:w="56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Arial" w:cs="Arial" w:eastAsia="Arial" w:hAnsi="Arial"/>
                <w:sz w:val="17"/>
                <w:szCs w:val="17"/>
                <w:color w:val="auto"/>
              </w:rPr>
              <w:t>Median Change in Platelet Counts (1,000/mm</w:t>
            </w:r>
            <w:r>
              <w:rPr>
                <w:rFonts w:ascii="Arial" w:cs="Arial" w:eastAsia="Arial" w:hAnsi="Arial"/>
                <w:sz w:val="28"/>
                <w:szCs w:val="28"/>
                <w:color w:val="auto"/>
                <w:vertAlign w:val="superscript"/>
              </w:rPr>
              <w:t>3</w:t>
            </w:r>
            <w:r>
              <w:rPr>
                <w:rFonts w:ascii="Arial" w:cs="Arial" w:eastAsia="Arial" w:hAnsi="Arial"/>
                <w:sz w:val="17"/>
                <w:szCs w:val="17"/>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w:t>
            </w:r>
          </w:p>
        </w:tc>
        <w:tc>
          <w:tcPr>
            <w:tcW w:w="11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5</w:t>
            </w:r>
          </w:p>
        </w:tc>
        <w:tc>
          <w:tcPr>
            <w:tcW w:w="3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80% (reduction)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0.003</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Patients with Decreased Serum IL-6</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16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64</w:t>
            </w:r>
          </w:p>
        </w:tc>
        <w:tc>
          <w:tcPr>
            <w:tcW w:w="320" w:type="dxa"/>
            <w:vAlign w:val="bottom"/>
            <w:tcBorders>
              <w:bottom w:val="single" w:sz="8" w:color="auto"/>
              <w:right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60% (reduction</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0.004</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Tertiary Analysis</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Placebo</w:t>
            </w:r>
          </w:p>
        </w:tc>
        <w:tc>
          <w:tcPr>
            <w:tcW w:w="11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rPr>
              <w:t>Xilonix</w:t>
            </w:r>
          </w:p>
        </w:tc>
        <w:tc>
          <w:tcPr>
            <w:tcW w:w="32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Placebo (%)</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Xilonix (%)</w:t>
            </w:r>
          </w:p>
        </w:tc>
        <w:tc>
          <w:tcPr>
            <w:tcW w:w="12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Relative Change</w:t>
            </w:r>
          </w:p>
        </w:tc>
        <w:tc>
          <w:tcPr>
            <w:tcW w:w="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p Value</w:t>
            </w:r>
          </w:p>
        </w:tc>
        <w:tc>
          <w:tcPr>
            <w:tcW w:w="0" w:type="dxa"/>
            <w:vAlign w:val="bottom"/>
          </w:tcPr>
          <w:p>
            <w:pPr>
              <w:spacing w:after="0"/>
              <w:rPr>
                <w:sz w:val="1"/>
                <w:szCs w:val="1"/>
                <w:color w:val="auto"/>
              </w:rPr>
            </w:pPr>
          </w:p>
        </w:tc>
      </w:tr>
      <w:tr>
        <w:trPr>
          <w:trHeight w:val="198"/>
        </w:trPr>
        <w:tc>
          <w:tcPr>
            <w:tcW w:w="37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auto"/>
            </w:tcBorders>
            <w:shd w:val="clear" w:color="auto" w:fill="CCEEFF"/>
          </w:tcPr>
          <w:p>
            <w:pPr>
              <w:spacing w:after="0"/>
              <w:rPr>
                <w:sz w:val="17"/>
                <w:szCs w:val="17"/>
                <w:color w:val="auto"/>
              </w:rPr>
            </w:pPr>
          </w:p>
        </w:tc>
        <w:tc>
          <w:tcPr>
            <w:tcW w:w="148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5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Patients with Stable Disease</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w:t>
            </w:r>
          </w:p>
        </w:tc>
        <w:tc>
          <w:tcPr>
            <w:tcW w:w="1160" w:type="dxa"/>
            <w:vAlign w:val="bottom"/>
          </w:tcPr>
          <w:p>
            <w:pPr>
              <w:jc w:val="center"/>
              <w:ind w:left="210"/>
              <w:spacing w:after="0" w:line="195" w:lineRule="exact"/>
              <w:rPr>
                <w:sz w:val="20"/>
                <w:szCs w:val="20"/>
                <w:color w:val="auto"/>
              </w:rPr>
            </w:pPr>
            <w:r>
              <w:rPr>
                <w:rFonts w:ascii="Arial" w:cs="Arial" w:eastAsia="Arial" w:hAnsi="Arial"/>
                <w:sz w:val="18"/>
                <w:szCs w:val="18"/>
                <w:color w:val="auto"/>
                <w:w w:val="89"/>
              </w:rPr>
              <w:t>35</w:t>
            </w:r>
          </w:p>
        </w:tc>
        <w:tc>
          <w:tcPr>
            <w:tcW w:w="3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12%</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17%</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53%</w:t>
            </w:r>
          </w:p>
        </w:tc>
        <w:tc>
          <w:tcPr>
            <w:tcW w:w="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0.12</w:t>
            </w:r>
          </w:p>
        </w:tc>
        <w:tc>
          <w:tcPr>
            <w:tcW w:w="0" w:type="dxa"/>
            <w:vAlign w:val="bottom"/>
          </w:tcPr>
          <w:p>
            <w:pPr>
              <w:spacing w:after="0"/>
              <w:rPr>
                <w:sz w:val="1"/>
                <w:szCs w:val="1"/>
                <w:color w:val="auto"/>
              </w:rPr>
            </w:pP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(Improvement)</w:t>
            </w: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2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Number of Serious Adverse Events (SAE)</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32</w:t>
            </w:r>
          </w:p>
        </w:tc>
        <w:tc>
          <w:tcPr>
            <w:tcW w:w="1160" w:type="dxa"/>
            <w:vAlign w:val="bottom"/>
            <w:shd w:val="clear" w:color="auto" w:fill="CCEEFF"/>
          </w:tcPr>
          <w:p>
            <w:pPr>
              <w:jc w:val="center"/>
              <w:ind w:left="210"/>
              <w:spacing w:after="0" w:line="195" w:lineRule="exact"/>
              <w:rPr>
                <w:sz w:val="20"/>
                <w:szCs w:val="20"/>
                <w:color w:val="auto"/>
              </w:rPr>
            </w:pPr>
            <w:r>
              <w:rPr>
                <w:rFonts w:ascii="Arial" w:cs="Arial" w:eastAsia="Arial" w:hAnsi="Arial"/>
                <w:sz w:val="18"/>
                <w:szCs w:val="18"/>
                <w:color w:val="auto"/>
                <w:w w:val="89"/>
              </w:rPr>
              <w:t>48</w:t>
            </w:r>
          </w:p>
        </w:tc>
        <w:tc>
          <w:tcPr>
            <w:tcW w:w="32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31%</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23%</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26% (Risk</w:t>
            </w:r>
          </w:p>
        </w:tc>
        <w:tc>
          <w:tcPr>
            <w:tcW w:w="5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0.062</w:t>
            </w:r>
          </w:p>
        </w:tc>
        <w:tc>
          <w:tcPr>
            <w:tcW w:w="0" w:type="dxa"/>
            <w:vAlign w:val="bottom"/>
          </w:tcPr>
          <w:p>
            <w:pPr>
              <w:spacing w:after="0"/>
              <w:rPr>
                <w:sz w:val="1"/>
                <w:szCs w:val="1"/>
                <w:color w:val="auto"/>
              </w:rPr>
            </w:pPr>
          </w:p>
        </w:tc>
      </w:tr>
      <w:tr>
        <w:trPr>
          <w:trHeight w:val="230"/>
        </w:trPr>
        <w:tc>
          <w:tcPr>
            <w:tcW w:w="3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right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reduction)</w:t>
            </w:r>
          </w:p>
        </w:tc>
        <w:tc>
          <w:tcPr>
            <w:tcW w:w="5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RECIST V1.1. p values are for 1-tailed significance testing.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Non-Small-Cell Lung Cancer (NSCLC)</w:t>
      </w:r>
    </w:p>
    <w:p>
      <w:pPr>
        <w:spacing w:after="0" w:line="117" w:lineRule="exact"/>
        <w:rPr>
          <w:sz w:val="20"/>
          <w:szCs w:val="20"/>
          <w:color w:val="auto"/>
        </w:rPr>
      </w:pPr>
    </w:p>
    <w:p>
      <w:pPr>
        <w:ind w:right="300" w:firstLine="441"/>
        <w:spacing w:after="0" w:line="299" w:lineRule="auto"/>
        <w:rPr>
          <w:sz w:val="20"/>
          <w:szCs w:val="20"/>
          <w:color w:val="auto"/>
        </w:rPr>
      </w:pPr>
      <w:r>
        <w:rPr>
          <w:rFonts w:ascii="Arial" w:cs="Arial" w:eastAsia="Arial" w:hAnsi="Arial"/>
          <w:sz w:val="16"/>
          <w:szCs w:val="16"/>
          <w:color w:val="auto"/>
        </w:rPr>
        <w:t>Sixteen evaluable NSCLC patients were treated using MABp1 monotherapy (Xilonix™) as part of the Phase I and II clinical trial for MABp1 (Xilonix™) at MD Anderson Cancer Study in Houston, Texas under IND #105,958. The study design was single arm, and examined radiographic tumor response, change in lean body mass as measured by DEXA, change in quality of life, and overall survival. NSCLC Patients with both pulmonary and non-</w:t>
      </w:r>
    </w:p>
    <w:p>
      <w:pPr>
        <w:spacing w:after="0" w:line="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pulmonary or only non-pulmonary metastases have been reported to have median time to death from date of disease progression of 3.2 months which was reported in </w:t>
      </w:r>
      <w:r>
        <w:rPr>
          <w:rFonts w:ascii="Arial" w:cs="Arial" w:eastAsia="Arial" w:hAnsi="Arial"/>
          <w:sz w:val="18"/>
          <w:szCs w:val="18"/>
          <w:i w:val="1"/>
          <w:iCs w:val="1"/>
          <w:color w:val="auto"/>
        </w:rPr>
        <w:t>Changes in the Natural History of Non-small Cell Lung Cancer (NSCLC))—Comparison of Outcomes and Characteristics in Patients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Advanced NSCLC Entered in Eastern Cooperative Oncology Group Trials Before and After 1990 </w:t>
      </w:r>
      <w:r>
        <w:rPr>
          <w:rFonts w:ascii="Arial" w:cs="Arial" w:eastAsia="Arial" w:hAnsi="Arial"/>
          <w:sz w:val="18"/>
          <w:szCs w:val="18"/>
          <w:color w:val="auto"/>
        </w:rPr>
        <w:t>(Heather Wakelee and et al, 2006 American Cancer</w:t>
      </w:r>
      <w:r>
        <w:rPr>
          <w:rFonts w:ascii="Arial" w:cs="Arial" w:eastAsia="Arial" w:hAnsi="Arial"/>
          <w:sz w:val="18"/>
          <w:szCs w:val="18"/>
          <w:i w:val="1"/>
          <w:iCs w:val="1"/>
          <w:color w:val="auto"/>
        </w:rPr>
        <w:t xml:space="preserve"> </w:t>
      </w:r>
      <w:r>
        <w:rPr>
          <w:rFonts w:ascii="Arial" w:cs="Arial" w:eastAsia="Arial" w:hAnsi="Arial"/>
          <w:sz w:val="18"/>
          <w:szCs w:val="18"/>
          <w:color w:val="auto"/>
        </w:rPr>
        <w:t>Society).</w:t>
      </w:r>
    </w:p>
    <w:p>
      <w:pPr>
        <w:spacing w:after="0" w:line="187"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NSCLC patients treated with MABp1 monotherapy all entered the study with progressive refractory disease and all had pulmonary and/or non-pulmonary metastasis.</w:t>
      </w:r>
    </w:p>
    <w:p>
      <w:pPr>
        <w:spacing w:after="0" w:line="116" w:lineRule="exact"/>
        <w:rPr>
          <w:sz w:val="20"/>
          <w:szCs w:val="20"/>
          <w:color w:val="auto"/>
        </w:rPr>
      </w:pPr>
    </w:p>
    <w:p>
      <w:pPr>
        <w:ind w:right="80" w:firstLine="441"/>
        <w:spacing w:after="0" w:line="222" w:lineRule="auto"/>
        <w:rPr>
          <w:sz w:val="20"/>
          <w:szCs w:val="20"/>
          <w:color w:val="auto"/>
        </w:rPr>
      </w:pPr>
      <w:r>
        <w:rPr>
          <w:rFonts w:ascii="Arial" w:cs="Arial" w:eastAsia="Arial" w:hAnsi="Arial"/>
          <w:sz w:val="18"/>
          <w:szCs w:val="18"/>
          <w:color w:val="auto"/>
        </w:rPr>
        <w:t>Overall survival for the NSCLC patients treated in this study was 7.6 months, which is notably greater than 3.2 months. Stratification based on prior anti-EGFR therapy revealed a median survival of 9.4 months (IQR 7.6-12.5) for those pretreated with Tarceva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(N=10) versus a survival of 4.8 months (IQR 4.3-5.7) for those without (N=6, logrank p=0.187).</w:t>
      </w:r>
    </w:p>
    <w:p>
      <w:pPr>
        <w:spacing w:after="0" w:line="207" w:lineRule="exact"/>
        <w:rPr>
          <w:sz w:val="20"/>
          <w:szCs w:val="20"/>
          <w:color w:val="auto"/>
        </w:rPr>
      </w:pPr>
    </w:p>
    <w:p>
      <w:pPr>
        <w:ind w:right="20" w:firstLine="441"/>
        <w:spacing w:after="0"/>
        <w:rPr>
          <w:sz w:val="20"/>
          <w:szCs w:val="20"/>
          <w:color w:val="auto"/>
        </w:rPr>
      </w:pPr>
      <w:r>
        <w:rPr>
          <w:rFonts w:ascii="Arial" w:cs="Arial" w:eastAsia="Arial" w:hAnsi="Arial"/>
          <w:sz w:val="16"/>
          <w:szCs w:val="16"/>
          <w:color w:val="auto"/>
        </w:rPr>
        <w:t>The first figure below compares patient overall survival after treatment with MABp1 with that observed in another study with Tarceva</w:t>
      </w:r>
      <w:r>
        <w:rPr>
          <w:rFonts w:ascii="Arial" w:cs="Arial" w:eastAsia="Arial" w:hAnsi="Arial"/>
          <w:sz w:val="26"/>
          <w:szCs w:val="26"/>
          <w:color w:val="auto"/>
          <w:vertAlign w:val="superscript"/>
        </w:rPr>
        <w:t>®</w:t>
      </w:r>
      <w:r>
        <w:rPr>
          <w:rFonts w:ascii="Arial" w:cs="Arial" w:eastAsia="Arial" w:hAnsi="Arial"/>
          <w:sz w:val="16"/>
          <w:szCs w:val="16"/>
          <w:color w:val="auto"/>
        </w:rPr>
        <w:t>, a drug recently approved for treating NSCLC. The median survival for patients treated with Xilonix™ was 7.6 months. It should be noted that 63% of the Xilonix™ patients</w:t>
      </w:r>
    </w:p>
    <w:p>
      <w:pPr>
        <w:ind w:right="20"/>
        <w:spacing w:after="0" w:line="206" w:lineRule="auto"/>
        <w:rPr>
          <w:sz w:val="20"/>
          <w:szCs w:val="20"/>
          <w:color w:val="auto"/>
        </w:rPr>
      </w:pPr>
      <w:r>
        <w:rPr>
          <w:rFonts w:ascii="Arial" w:cs="Arial" w:eastAsia="Arial" w:hAnsi="Arial"/>
          <w:sz w:val="16"/>
          <w:szCs w:val="16"/>
          <w:color w:val="auto"/>
        </w:rPr>
        <w:t>had taken Tarceva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failed. This compares with median survival for a similar patient population treated with Tarceva</w:t>
      </w:r>
      <w:r>
        <w:rPr>
          <w:rFonts w:ascii="Arial" w:cs="Arial" w:eastAsia="Arial" w:hAnsi="Arial"/>
          <w:sz w:val="26"/>
          <w:szCs w:val="26"/>
          <w:color w:val="auto"/>
          <w:vertAlign w:val="superscript"/>
        </w:rPr>
        <w:t>®</w:t>
      </w:r>
      <w:r>
        <w:rPr>
          <w:rFonts w:ascii="Arial" w:cs="Arial" w:eastAsia="Arial" w:hAnsi="Arial"/>
          <w:sz w:val="16"/>
          <w:szCs w:val="16"/>
          <w:color w:val="auto"/>
        </w:rPr>
        <w:t>, which is a historical control group, where survival was only 6.7 months. Overall survival in the control population in the Tarceva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study was 4.7 months. The comparison between overall</w:t>
      </w:r>
    </w:p>
    <w:p>
      <w:pPr>
        <w:spacing w:after="0" w:line="1" w:lineRule="exact"/>
        <w:rPr>
          <w:sz w:val="20"/>
          <w:szCs w:val="20"/>
          <w:color w:val="auto"/>
        </w:rPr>
      </w:pPr>
    </w:p>
    <w:p>
      <w:pPr>
        <w:ind w:right="420"/>
        <w:spacing w:after="0" w:line="204" w:lineRule="auto"/>
        <w:rPr>
          <w:sz w:val="20"/>
          <w:szCs w:val="20"/>
          <w:color w:val="auto"/>
        </w:rPr>
      </w:pPr>
      <w:r>
        <w:rPr>
          <w:rFonts w:ascii="Arial" w:cs="Arial" w:eastAsia="Arial" w:hAnsi="Arial"/>
          <w:sz w:val="18"/>
          <w:szCs w:val="18"/>
          <w:color w:val="auto"/>
        </w:rPr>
        <w:t>survival observed with Xilonix™ and that of the Tarceva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study should be viewed with caution, since the patient populations or supportive care or other factors may have been different between the two studies making direct comparison difficult.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6" w:name="page17"/>
    <w:bookmarkEnd w:id="16"/>
    <w:p>
      <w:pPr>
        <w:ind w:right="360" w:firstLine="441"/>
        <w:spacing w:after="0" w:line="242" w:lineRule="auto"/>
        <w:rPr>
          <w:sz w:val="20"/>
          <w:szCs w:val="20"/>
          <w:color w:val="auto"/>
        </w:rPr>
      </w:pPr>
      <w:r>
        <w:rPr>
          <w:rFonts w:ascii="Arial" w:cs="Arial" w:eastAsia="Arial" w:hAnsi="Arial"/>
          <w:sz w:val="18"/>
          <w:szCs w:val="18"/>
          <w:color w:val="auto"/>
        </w:rPr>
        <w:t>The second figure compares overall survival of MABp1 treated patients based on whether or not they received pre-treatment with Tarceva</w:t>
      </w:r>
      <w:r>
        <w:rPr>
          <w:rFonts w:ascii="Arial" w:cs="Arial" w:eastAsia="Arial" w:hAnsi="Arial"/>
          <w:sz w:val="30"/>
          <w:szCs w:val="30"/>
          <w:color w:val="auto"/>
          <w:vertAlign w:val="superscript"/>
        </w:rPr>
        <w:t>®</w:t>
      </w:r>
      <w:r>
        <w:rPr>
          <w:rFonts w:ascii="Arial" w:cs="Arial" w:eastAsia="Arial" w:hAnsi="Arial"/>
          <w:sz w:val="18"/>
          <w:szCs w:val="18"/>
          <w:color w:val="auto"/>
        </w:rPr>
        <w:t>. These findings suggest a remarkable interaction between Tarceva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pre-treatment and MABp1. Survival in the Tarceva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pre-treated group was nearly double compared to those who had not received Tarceva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58420</wp:posOffset>
            </wp:positionV>
            <wp:extent cx="3764915" cy="4699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64915" cy="469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firstLine="441"/>
        <w:spacing w:after="0"/>
        <w:rPr>
          <w:sz w:val="20"/>
          <w:szCs w:val="20"/>
          <w:color w:val="auto"/>
        </w:rPr>
      </w:pPr>
      <w:r>
        <w:rPr>
          <w:rFonts w:ascii="Arial" w:cs="Arial" w:eastAsia="Arial" w:hAnsi="Arial"/>
          <w:sz w:val="16"/>
          <w:szCs w:val="16"/>
          <w:color w:val="auto"/>
        </w:rPr>
        <w:t>When overall survival was analyzed according to pre-treatment status, it was found that having received, but failed Tarceva</w:t>
      </w:r>
      <w:r>
        <w:rPr>
          <w:rFonts w:ascii="Arial" w:cs="Arial" w:eastAsia="Arial" w:hAnsi="Arial"/>
          <w:sz w:val="26"/>
          <w:szCs w:val="26"/>
          <w:color w:val="auto"/>
          <w:vertAlign w:val="superscript"/>
        </w:rPr>
        <w:t>®</w:t>
      </w:r>
      <w:r>
        <w:rPr>
          <w:rFonts w:ascii="Arial" w:cs="Arial" w:eastAsia="Arial" w:hAnsi="Arial"/>
          <w:sz w:val="16"/>
          <w:szCs w:val="16"/>
          <w:color w:val="auto"/>
        </w:rPr>
        <w:t>, correlated with significantly increased survival. The Kaplan-Meier curves compare survival of patients who had either received and failed (green line) or had not received</w:t>
      </w:r>
    </w:p>
    <w:p>
      <w:pPr>
        <w:spacing w:after="0" w:line="270" w:lineRule="auto"/>
        <w:rPr>
          <w:sz w:val="20"/>
          <w:szCs w:val="20"/>
          <w:color w:val="auto"/>
        </w:rPr>
      </w:pPr>
      <w:r>
        <w:rPr>
          <w:rFonts w:ascii="Arial" w:cs="Arial" w:eastAsia="Arial" w:hAnsi="Arial"/>
          <w:sz w:val="16"/>
          <w:szCs w:val="16"/>
          <w:color w:val="auto"/>
        </w:rPr>
        <w:t>(gray line) treatment of Tarceva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prior to receiving MABp1 treatment. This subset analysis reveals that patients who had received Tarceva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treatment prior to receiving MABp1 live longer on average than patients who did not receive Tarceva</w:t>
      </w:r>
      <w:r>
        <w:rPr>
          <w:rFonts w:ascii="Arial" w:cs="Arial" w:eastAsia="Arial" w:hAnsi="Arial"/>
          <w:sz w:val="26"/>
          <w:szCs w:val="26"/>
          <w:color w:val="auto"/>
          <w:vertAlign w:val="superscript"/>
        </w:rPr>
        <w:t>®</w:t>
      </w:r>
      <w:r>
        <w:rPr>
          <w:rFonts w:ascii="Arial" w:cs="Arial" w:eastAsia="Arial" w:hAnsi="Arial"/>
          <w:sz w:val="16"/>
          <w:szCs w:val="16"/>
          <w:color w:val="auto"/>
        </w:rPr>
        <w:t>. This type of analysis may help in designing future trials of MABp1.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Colorectal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a Phase II Randomized Study in Cardiovascular Disease</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XBiotech completed a multi-center Phase II clinical study in cardiovascular medicine with 43 patients in 2013 (IND #110,908). The study was conducted at nine investigative sites in the United States. This Phase II randomized, controlled clinical study evaluated the therapeutic antibody MABp1 for its ability to reduce adverse events after balloon angioplasty, atherectomy or stent placement in patients undergoing revascularization procedures for blockage of a major artery (superficial femoral artery or SFA) in the leg. Interim data from this study was submitted to the FDA and resulted in fast track designation for this drug development program in the fall of 2012.</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While the study was exploratory in nature and not powered with patient numbers to provide a statistically significant outcome, clinical results to date have shown an important trend towards the reduction of restenosis, and reduced incidence of Major Adverse Cardiovascular Events (MACE) in treated patients compared to controls. Patients were monitored for restenosis, or MACE, including heart attack or stroke.</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All of the subjects included in this trial had symptomatic peripheral vascular disease, characterized by claudication, rest pain, or limited gangrene. All patients had hemodynamically significant occlusion of the femoral artery. Subjects eligible for enrollment had to be undergoing endovascular intervention as a part of standard of care treatment. Enrolled subjects were randomized to receive (i) study drug plus standard of care or (ii) standard of care following surgery.</w:t>
      </w:r>
    </w:p>
    <w:p>
      <w:pPr>
        <w:spacing w:after="0" w:line="18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Data analyzed from the study suggests a beneficial treatment effect at 15 weeks. The patients received intravenous infusions of MABp1 at day 0 peri-operative, and at days 14, 28 and 42 post-operative. At 15 weeks no patients (0/22) in the treatment arm had experienced re-occlusion (restenosis) of the treated artery, whereas 3 patients (3/21) had restenosis in the control arm. Three patients (3/22) had MACE in the treatment arm, compared to 5 (5/21) in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127635</wp:posOffset>
            </wp:positionV>
            <wp:extent cx="3696335" cy="2084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These data, together with the FDA fast track designation, have supported advancement of the clinical trial program for the treatment of vascular injury and disease.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Dermatology</w:t>
      </w:r>
    </w:p>
    <w:p>
      <w:pPr>
        <w:spacing w:after="0" w:line="11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Inflammatory skin conditions encompass a wide range of diagnoses from common conditions such as acne, eczema, and psoriasis, to more rare conditions such as pyoderma gangrenosum. One common factor unifying the pathophysiology of these conditions is IL-1a, a pro-inflammatory cytokine present in keratinocytes and inflammatory cells present in skin lesions. We believe that blockade of IL-1a will prove to be a safe and effective treatment for numerous dermatologic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w:t>
      </w:r>
    </w:p>
    <w:p>
      <w:pPr>
        <w:spacing w:after="0" w:line="117"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XBiotech completed a multicenter, single arm Phase II study of MABp1 in eight patients with moderate to severe plaque psoriasis (IND #112,459). This clinical trial was launched after a dramatic response was observed in a psoriasis patient who was treated with MABp1 on a compassionate basis. The patient seen was a 48 year-old male with Type I psoriasis vulgaris. After a single treatment, the patient showed almost complete resolution of psoriasis lesions within 10 days. The Phase II exploratory study involved providing psoriasis patients three subcutaneous injections of the antibody to evaluate safety, pharmacokinetics and preliminary efficacy of the treatment. Numerous efficacy assessments were made, including the Psoriasis Area and Severity Index (PASI) and performance measures, assessed with the use of the Dermatology Life Quality Index (DLQI) Questionnaire and Physicians Global Assessment</w:t>
      </w:r>
    </w:p>
    <w:p>
      <w:pPr>
        <w:spacing w:after="0" w:line="5"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color w:val="auto"/>
        </w:rPr>
        <w:t>(PGA). Findings revealed rapid improvement in patients treated with MABp1, with a median response of 43% improvement in PASI score in just 35 days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Acne</w:t>
      </w:r>
    </w:p>
    <w:p>
      <w:pPr>
        <w:spacing w:after="0" w:line="4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 Phase II exploratory study launched in 2012 and completed in 2013 evaluated MABp1 therapy in moderate to severe acne vulgaris (IND #112,459). The acne study was a single-arm, multicenter study conducted in the United States. This study examined changes in the number of inflammatory acne lesions, as well as patient reported changes in psychiatric symptoms. Eleven patients were administered open-label, subcutaneous injections of MABpl over a six-week period (ClinicalTrials.gov NCT01474798). Objectives were assessment of safety, change in inflammatory lesion count and change in psychosocial functioning using two validated questionnaires.</w:t>
      </w:r>
    </w:p>
    <w:p>
      <w:pPr>
        <w:spacing w:after="0" w:line="364"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Patients showed significant improvement in the number of facial inflammatory lesions after treatment with MABp1. Median inflammatory lesion counts decreased 36% (IQR -44% to 1%). Anxiety scores improved (from median 6 to 1) as well as self-image assessment (2.3±0.9 to 2.1±0.1) as measured by the Hospital Anxiety and Depression Scale and the modified Body Image Disturbance Questionnaire, respectively. There were no serious adverse events, or adverse events greater than grade I.</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(Type II)</w:t>
      </w:r>
    </w:p>
    <w:p>
      <w:pPr>
        <w:spacing w:after="0" w:line="117" w:lineRule="exact"/>
        <w:rPr>
          <w:sz w:val="20"/>
          <w:szCs w:val="20"/>
          <w:color w:val="auto"/>
        </w:rPr>
      </w:pPr>
    </w:p>
    <w:p>
      <w:pPr>
        <w:jc w:val="both"/>
        <w:ind w:right="120" w:firstLine="441"/>
        <w:spacing w:after="0" w:line="259" w:lineRule="auto"/>
        <w:rPr>
          <w:sz w:val="20"/>
          <w:szCs w:val="20"/>
          <w:color w:val="auto"/>
        </w:rPr>
      </w:pPr>
      <w:r>
        <w:rPr>
          <w:rFonts w:ascii="Arial" w:cs="Arial" w:eastAsia="Arial" w:hAnsi="Arial"/>
          <w:sz w:val="18"/>
          <w:szCs w:val="18"/>
          <w:color w:val="auto"/>
        </w:rPr>
        <w:t>XBiotech conducted a Phase II pilot study to test MABp1 in seven patients with Type II diabetes at the University Hospital in Basel, Switzerland. The study was headed by an endocrinologist and expert on the role of inflammatory disease in diabetes, Dr. Marc Donath, Head of Endocrinology, Diabetes and Metabolism at University Hospital of Basel. This study was conducted with appropriate due diligence and authorization equivalent to a US FDA IND, under the Swiss regulatory authority SwissMedic.</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clinical study assessed safety and pharmacokinetics of MABp1 in the diabetic patient population. The study also examined patients to determine if their diabetes improved, including assessing pancreas function and glucose control.</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Patients were given a low dose of MABp1 intravenously every two weeks for a total of four doses (Days 0, 14, 28, and 42). To be eligible for treatment, patients needed to have been diagnosed with Type II diabetes according to American Diabetes Association diagnostic criteria at least three months prior to the study.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19" w:name="page20"/>
    <w:bookmarkEnd w:id="19"/>
    <w:p>
      <w:pPr>
        <w:ind w:firstLine="441"/>
        <w:spacing w:after="0" w:line="297" w:lineRule="auto"/>
        <w:rPr>
          <w:sz w:val="20"/>
          <w:szCs w:val="20"/>
          <w:color w:val="auto"/>
        </w:rPr>
      </w:pPr>
      <w:r>
        <w:rPr>
          <w:rFonts w:ascii="Arial" w:cs="Arial" w:eastAsia="Arial" w:hAnsi="Arial"/>
          <w:sz w:val="16"/>
          <w:szCs w:val="16"/>
          <w:color w:val="auto"/>
        </w:rPr>
        <w:t>To examine the trend of glycated hemoglobin (HbA1c) levels along the study time points, a trend analysis was performed on patients who completed all visits. Compared to baseline, after the 60 days period of treatment HbAlc was reduced by 0.14±0.21% (p=0.15), fasting C-peptide was increased by 88% (p=0.03), pro-insulin by 48% (p=0.03) and insulin by 74% (P=0.ll). Systolic blood pressure decreased by 11 mmHg (p=0.2). Both HbAlc and blood pressure rebounded to baseline levels thirty days after the end of MABp1 application. Treatment with MABpl was well tolerated and no adverse events occurred during the study. This increase in HbA1c after removal of the drug, further suggested the activity for antibody therapy in these type 2 diabetic patients.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XBiotech has developed a large international intellectual property (IP) portfolio to protect important aspects of its technology, services and products, including patents, trademarks and trade secrets. To date, XBiotech’s patent portfolio consists of 16 patent families, and includes 39 issued/allowed patents and approximately 100 pending patent applications in various countries around the world. XBiotech’s IP portfolio is designed to protect XBiotech’s drug products, therapies and to some extent, its discovery technology. It includes patents and applications that protect MABp1 as a composition of matter and methods of using anti-IL-1a antibodies for the treatment of various diseases including cancer, vascular disorders, inflammatory skin diseases, diabetes, and arthritis. XBiotech’s IP portfolio also includes patents and applications directed to some aspects of our proprietary antibody discovery platform, as well as treating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infections.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its 39 issued/allowed patents, XBiotech owns the rights to the patent families as described in more detail below.</w:t>
      </w:r>
    </w:p>
    <w:p>
      <w:pPr>
        <w:spacing w:after="0" w:line="229" w:lineRule="exact"/>
        <w:rPr>
          <w:sz w:val="20"/>
          <w:szCs w:val="20"/>
          <w:color w:val="auto"/>
        </w:rPr>
      </w:pPr>
    </w:p>
    <w:p>
      <w:pPr>
        <w:ind w:firstLine="441"/>
        <w:spacing w:after="0" w:line="234" w:lineRule="auto"/>
        <w:rPr>
          <w:sz w:val="20"/>
          <w:szCs w:val="20"/>
          <w:color w:val="auto"/>
        </w:rPr>
      </w:pPr>
      <w:r>
        <w:rPr>
          <w:rFonts w:ascii="Arial" w:cs="Arial" w:eastAsia="Arial" w:hAnsi="Arial"/>
          <w:sz w:val="18"/>
          <w:szCs w:val="18"/>
          <w:b w:val="1"/>
          <w:bCs w:val="1"/>
          <w:color w:val="auto"/>
        </w:rPr>
        <w:t xml:space="preserve">A. Interleukin-1 Alpha Antibodies and Methods of Use. </w:t>
      </w:r>
      <w:r>
        <w:rPr>
          <w:rFonts w:ascii="Arial" w:cs="Arial" w:eastAsia="Arial" w:hAnsi="Arial"/>
          <w:sz w:val="18"/>
          <w:szCs w:val="18"/>
          <w:color w:val="auto"/>
        </w:rPr>
        <w:t>This patent family relates to the development of specific True Human</w:t>
      </w:r>
      <w:r>
        <w:rPr>
          <w:rFonts w:ascii="Arial" w:cs="Arial" w:eastAsia="Arial" w:hAnsi="Arial"/>
          <w:sz w:val="30"/>
          <w:szCs w:val="30"/>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including MABp1, that include (i) an antigen-binding variable region that exhibits very high binding affinity for human IL-1a and (ii) a constant region that is effective at both activating the complement system though C1q binding and binding to several different Fc receptors. XBiotech has been granted 25 patents in this family for interleukin-1 alpha antibodies and methods of use; including ten in the U.S. (two allowed, but not issued), four in Australia, one in China, one in Hong Kong, two in Israel, one in Japan, one in Mexico, one in New Zealand, one in the Philippines, one in Russia and two in South Africa. Patents in this family have a term at least through 2029.</w:t>
      </w:r>
    </w:p>
    <w:p>
      <w:pPr>
        <w:spacing w:after="0" w:line="146"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b w:val="1"/>
          <w:bCs w:val="1"/>
          <w:color w:val="auto"/>
        </w:rPr>
        <w:t>B. Treatment of Cancer with Anti- IL-1α Antibodies</w:t>
      </w:r>
      <w:r>
        <w:rPr>
          <w:rFonts w:ascii="Arial" w:cs="Arial" w:eastAsia="Arial" w:hAnsi="Arial"/>
          <w:sz w:val="17"/>
          <w:szCs w:val="17"/>
          <w:color w:val="auto"/>
        </w:rPr>
        <w:t>. This patent family relates to the use of anti- IL-1α antibodies to inhibit the metastatic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of tumors by interrupting the physiological role tumor-derived IL-1α plays in tumor metastasis. XBiotech has been granted three patents for this family; including one in Australia, one in Canada and one in Europe. Patents in this family have a term at least through 2027.</w:t>
      </w:r>
    </w:p>
    <w:p>
      <w:pPr>
        <w:spacing w:after="0" w:line="158" w:lineRule="exact"/>
        <w:rPr>
          <w:sz w:val="20"/>
          <w:szCs w:val="20"/>
          <w:color w:val="auto"/>
        </w:rPr>
      </w:pPr>
    </w:p>
    <w:p>
      <w:pPr>
        <w:ind w:right="540" w:firstLine="441"/>
        <w:spacing w:after="0" w:line="289" w:lineRule="auto"/>
        <w:rPr>
          <w:sz w:val="20"/>
          <w:szCs w:val="20"/>
          <w:color w:val="auto"/>
        </w:rPr>
      </w:pPr>
      <w:r>
        <w:rPr>
          <w:rFonts w:ascii="Arial" w:cs="Arial" w:eastAsia="Arial" w:hAnsi="Arial"/>
          <w:sz w:val="17"/>
          <w:szCs w:val="17"/>
          <w:b w:val="1"/>
          <w:bCs w:val="1"/>
          <w:color w:val="auto"/>
        </w:rPr>
        <w:t xml:space="preserve">C. Treatment of Neoplastic Diseases. </w:t>
      </w:r>
      <w:r>
        <w:rPr>
          <w:rFonts w:ascii="Arial" w:cs="Arial" w:eastAsia="Arial" w:hAnsi="Arial"/>
          <w:sz w:val="17"/>
          <w:szCs w:val="17"/>
          <w:color w:val="auto"/>
        </w:rPr>
        <w:t>This patent family relates to the administration of anti- IL-1α antibodies to treat various tumor-associated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and the administration of a monoclonal antibody that specifically binds IL-1α to reduce the size of tumors in human patients suffering from cancer. We have been issued one patent in New Zealand. Patents in this family have a term at least through 2027.</w:t>
      </w:r>
    </w:p>
    <w:p>
      <w:pPr>
        <w:spacing w:after="0" w:line="158" w:lineRule="exact"/>
        <w:rPr>
          <w:sz w:val="20"/>
          <w:szCs w:val="20"/>
          <w:color w:val="auto"/>
        </w:rPr>
      </w:pPr>
    </w:p>
    <w:p>
      <w:pPr>
        <w:jc w:val="both"/>
        <w:ind w:right="400" w:firstLine="441"/>
        <w:spacing w:after="0" w:line="222" w:lineRule="exact"/>
        <w:rPr>
          <w:sz w:val="20"/>
          <w:szCs w:val="20"/>
          <w:color w:val="auto"/>
        </w:rPr>
      </w:pPr>
      <w:r>
        <w:rPr>
          <w:rFonts w:ascii="Arial" w:cs="Arial" w:eastAsia="Arial" w:hAnsi="Arial"/>
          <w:sz w:val="18"/>
          <w:szCs w:val="18"/>
          <w:b w:val="1"/>
          <w:bCs w:val="1"/>
          <w:color w:val="auto"/>
        </w:rPr>
        <w:t xml:space="preserve">D. Diagnosis, Treatment, and Prevention of Vascular Disorders. </w:t>
      </w:r>
      <w:r>
        <w:rPr>
          <w:rFonts w:ascii="Arial" w:cs="Arial" w:eastAsia="Arial" w:hAnsi="Arial"/>
          <w:sz w:val="18"/>
          <w:szCs w:val="18"/>
          <w:color w:val="auto"/>
        </w:rPr>
        <w:t>This patent family relates to methods of diagnosing, treating and preventing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vascular disorder using IL-1</w:t>
      </w:r>
      <w:r>
        <w:rPr>
          <w:rFonts w:ascii="MS PGothic" w:cs="MS PGothic" w:eastAsia="MS PGothic" w:hAnsi="MS PGothic"/>
          <w:sz w:val="18"/>
          <w:szCs w:val="18"/>
          <w:color w:val="auto"/>
        </w:rPr>
        <w:t>☐</w:t>
      </w:r>
      <w:r>
        <w:rPr>
          <w:rFonts w:ascii="Arial" w:cs="Arial" w:eastAsia="Arial" w:hAnsi="Arial"/>
          <w:sz w:val="18"/>
          <w:szCs w:val="18"/>
          <w:color w:val="auto"/>
        </w:rPr>
        <w:t xml:space="preserve"> autoantibody. We have been issued six patents in this family, including one in the U.S., two in Australia, two in Europe and one in Japan. Patents in this family have a term at least through 2027.</w:t>
      </w:r>
    </w:p>
    <w:p>
      <w:pPr>
        <w:spacing w:after="0" w:line="199"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E. Compositions and Methods for Treating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patent family relates to new antibodies for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w:t>
      </w:r>
      <w:r>
        <w:rPr>
          <w:rFonts w:ascii="Arial" w:cs="Arial" w:eastAsia="Arial" w:hAnsi="Arial"/>
          <w:sz w:val="18"/>
          <w:szCs w:val="18"/>
          <w:b w:val="1"/>
          <w:bCs w:val="1"/>
          <w:color w:val="auto"/>
        </w:rPr>
        <w:t xml:space="preserve"> </w:t>
      </w:r>
      <w:r>
        <w:rPr>
          <w:rFonts w:ascii="Arial" w:cs="Arial" w:eastAsia="Arial" w:hAnsi="Arial"/>
          <w:sz w:val="18"/>
          <w:szCs w:val="18"/>
          <w:color w:val="auto"/>
        </w:rPr>
        <w:t>XBiotech acquired use of these patents pursuant to its exclusive license agreement with STROX Biopharmaceuticals, LLC. This patent family includes three patents in the U.S. and one patent in Australia. Patents in this family have a term at least through 2027.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ind w:firstLine="441"/>
        <w:spacing w:after="0" w:line="290" w:lineRule="auto"/>
        <w:rPr>
          <w:sz w:val="20"/>
          <w:szCs w:val="20"/>
          <w:color w:val="auto"/>
        </w:rPr>
      </w:pPr>
      <w:r>
        <w:rPr>
          <w:rFonts w:ascii="Arial" w:cs="Arial" w:eastAsia="Arial" w:hAnsi="Arial"/>
          <w:sz w:val="16"/>
          <w:szCs w:val="16"/>
          <w:color w:val="auto"/>
        </w:rPr>
        <w:t>Because the patent positions of pharmaceutical, biotechnology, and diagnostics companies are highly uncertain and involve complex legal and factual questions, the patents owned and licensed by us, or any future patents, may not prevent other companies from developing similar or therapeutically equivalent products or ensure that others will not be issued patents that may prevent the sale of our products or require licensing and the payment of significant fees or royalties. Furthermore, to the extent that any of our future products or methods are not patentable, that such products or methods infringe upon the patents of third parties, or that our patents or future patents fail to give us an exclusive position in the subject matter claimed by those patents, we will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December 31, 2015, we had 78 employees, 13 of whom hold a Ph.D. or M.D. (or equivalent) degree. None of our employees are represented by a labor union or covered by a collective bargaining agreement, nor have we experienced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headquarters are located in Austin, Texas.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9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u w:val="single" w:color="auto"/>
          <w:color w:val="auto"/>
        </w:rPr>
        <w:t>http://www.xbiotech.com.</w:t>
      </w:r>
      <w:r>
        <w:rPr>
          <w:rFonts w:ascii="Arial" w:cs="Arial" w:eastAsia="Arial" w:hAnsi="Arial"/>
          <w:sz w:val="16"/>
          <w:szCs w:val="16"/>
          <w:color w:val="auto"/>
        </w:rPr>
        <w:t xml:space="preserve"> The information on our website is not incorporated by reference into this annual report on Form 10-K and should not be considered to be a part of this annual report on Form 10-K. Our reports filed or furnished pursuant to Section 13(a) or 15(d) of the Securities Exchange Act of 1934, as amended, our quarterly reports on Form 10-Q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compensation committee, nominating and corporate governance committee, as well as our corporate governance guidelines and our code of business conduct and ethics. In addition, we intend to disclose on our web site any amendments to, or waivers from, our code of business conduct and ethics that are required to be disclosed pursuant to the SEC rules.</w:t>
      </w:r>
    </w:p>
    <w:p>
      <w:pPr>
        <w:spacing w:after="0" w:line="3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every quarter since our inception and anticipate that we will continue to incur significant losses in the future.</w:t>
      </w:r>
    </w:p>
    <w:p>
      <w:pPr>
        <w:spacing w:after="0" w:line="113"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We are a clinical-stage pharmaceutical company with no revenue and a limited operating history.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are not profitable and have incurred losses in every reporting period since our inception in 2005. For the years ended December 31, 2013, 2014, and 2015, we reported a net loss of $9.9 million, $21.7 million, and $37.1 million respectively. As of December 31, 2015, we had an accumulated deficit since inception of $130.3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ind w:firstLine="441"/>
        <w:spacing w:after="0" w:line="270"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We anticipate these losses will increase as we continue the research and development of, and seek regulatory approvals for Xilonix™ and any of our other product candidates,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and expected future losses have had, and will continue to have, an adverse effect on our financial condition. If Xilonix™ or any other product candidate fails in clinical trials or does not gain regulatory approval, or if approved and fails to achieve market acceptance, we may never become profitable. Even if we achieve profitability in the future, we may not be able to sustain profitability in subsequent periods.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47"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year ending December 31, 2015, we recognized approximately $31.3 million in expenses associated with research and development and clinical trials.</w:t>
      </w:r>
    </w:p>
    <w:p>
      <w:pPr>
        <w:spacing w:after="0" w:line="23"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We completed our initial public offering on April 15, 2015. However, the net proceeds from the offering and cash on hand may not be sufficient to complete clinical development of any of our product candidates nor may it be sufficient to commercialize any product candidate. Accordingly, we may require substantial additional capital beyond the offering to continue our clinical development and potential commercialization activities. Our future capital requirements depend on many factors, including but not limited to:</w:t>
      </w:r>
    </w:p>
    <w:p>
      <w:pPr>
        <w:spacing w:after="0" w:line="268" w:lineRule="exact"/>
        <w:rPr>
          <w:sz w:val="20"/>
          <w:szCs w:val="20"/>
          <w:color w:val="auto"/>
        </w:rPr>
      </w:pPr>
    </w:p>
    <w:p>
      <w:pPr>
        <w:ind w:left="440" w:hanging="324"/>
        <w:spacing w:after="0"/>
        <w:tabs>
          <w:tab w:leader="none" w:pos="4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225" w:lineRule="exact"/>
        <w:rPr>
          <w:rFonts w:ascii="Arial" w:cs="Arial" w:eastAsia="Arial" w:hAnsi="Arial"/>
          <w:sz w:val="18"/>
          <w:szCs w:val="18"/>
          <w:color w:val="auto"/>
        </w:rPr>
      </w:pPr>
    </w:p>
    <w:p>
      <w:pPr>
        <w:ind w:left="380" w:right="540" w:hanging="31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and conducting preclinical research and clinical trials;</w:t>
      </w:r>
    </w:p>
    <w:p>
      <w:pPr>
        <w:spacing w:after="0" w:line="170" w:lineRule="exact"/>
        <w:rPr>
          <w:rFonts w:ascii="Arial" w:cs="Arial" w:eastAsia="Arial" w:hAnsi="Arial"/>
          <w:sz w:val="18"/>
          <w:szCs w:val="18"/>
          <w:color w:val="auto"/>
        </w:rPr>
      </w:pPr>
    </w:p>
    <w:p>
      <w:pPr>
        <w:ind w:left="400" w:hanging="324"/>
        <w:spacing w:after="0"/>
        <w:tabs>
          <w:tab w:leader="none" w:pos="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future commercialization activities for Xilonix™ and the cost of commercializing any future products approved for sale;</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cost of manufacturing our future products; and</w:t>
      </w:r>
    </w:p>
    <w:p>
      <w:pPr>
        <w:spacing w:after="0" w:line="225" w:lineRule="exact"/>
        <w:rPr>
          <w:rFonts w:ascii="Arial" w:cs="Arial" w:eastAsia="Arial" w:hAnsi="Arial"/>
          <w:sz w:val="18"/>
          <w:szCs w:val="18"/>
          <w:color w:val="auto"/>
        </w:rPr>
      </w:pPr>
    </w:p>
    <w:p>
      <w:pPr>
        <w:ind w:left="380" w:right="60" w:hanging="31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any such litigation.</w:t>
      </w:r>
    </w:p>
    <w:p>
      <w:pPr>
        <w:spacing w:after="0" w:line="346"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We are unable to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4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two related shareholder class action lawsuits, which may adversely affect our business, financial condition, results of operations and cash flows.</w:t>
      </w:r>
    </w:p>
    <w:p>
      <w:pPr>
        <w:spacing w:after="0" w:line="13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and certain of our executive officers and directors are defendants in a federal securities class action lawsuit and in a similar securities class action filed in state court in California. These lawsuits, including their current status, are described in Part I, Item 3 “Legal Proceedings” in this Form 10-K. While we believe these lawsuits to be without merit and intend to vigorously defend them, we are in the early stages of both cases and we cannot guarantee any particular outcome. These and any similar future matters may divert our attention from our ordinary business operations, and we may incur significant expenses associated with them (including, without limitation, substantial attorneys’ fees and other fees of professional advisors and potential obligations to indemnify the underwriter for our initial public offering and current and former officers and directors who are or may become parties to or involved in such matters). Depending on the outcome of such matters, we could be required to pay material damages and/or suffer other penalties, remedies or sanctions. Accordingly, the ultimate resolution of these pending matters or any similar future matters could have a material adverse effect on our business, financial condition, results of operations, cash flows, liquidity and ability to meet our debt obligations and could negatively impact the trading price of our common stock. Any existing or future shareholder lawsuits could also adversely impact our reputation, our relationships with our customers and our ability to generate revenue.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85"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To date, we have not generated any revenues from commercial product sales, or otherwise. Our ability to generate revenue in the future from product sales and achieve profitability will depend upon our ability, alone or with any future collaborators, to commercialize products successfully, including Xilonix™ or any future product candidates that we may develop, in-license or acquire in the future. Even if we are able to achieve regulatory approval successfully for Xilonix™ or any future product candidates, we do not know when any of these products will generate revenue from product sales, if at all. Our ability to generate revenue from product sales from Xilonix™ or any of our other product candidates also depends on a number of additional factors, including our ability to:</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development activities, including the necessary clinical trials;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17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 such as the European Medicines Agency, or EMA;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our manufacturing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23" w:name="page24"/>
    <w:bookmarkEnd w:id="23"/>
    <w:p>
      <w:pPr>
        <w:ind w:left="340" w:right="1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Xilonix™ and any products for which we obtain marketing approval and intend to sell ourselves in the markets in which we choose to commercialize on our own;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for our products, if 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00" w:lineRule="exact"/>
        <w:rPr>
          <w:sz w:val="20"/>
          <w:szCs w:val="20"/>
          <w:color w:val="auto"/>
        </w:rPr>
      </w:pPr>
    </w:p>
    <w:p>
      <w:pPr>
        <w:spacing w:after="0" w:line="2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Xilonix™ or any other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Xilonix™ or any other product candidates, we anticipate incurring significant costs associated with commercializing these products.</w:t>
      </w:r>
    </w:p>
    <w:p>
      <w:pPr>
        <w:spacing w:after="0" w:line="166" w:lineRule="exact"/>
        <w:rPr>
          <w:sz w:val="20"/>
          <w:szCs w:val="20"/>
          <w:color w:val="auto"/>
        </w:rPr>
      </w:pPr>
    </w:p>
    <w:p>
      <w:pPr>
        <w:jc w:val="both"/>
        <w:ind w:right="640" w:firstLine="441"/>
        <w:spacing w:after="0" w:line="286" w:lineRule="auto"/>
        <w:rPr>
          <w:sz w:val="20"/>
          <w:szCs w:val="20"/>
          <w:color w:val="auto"/>
        </w:rPr>
      </w:pPr>
      <w:r>
        <w:rPr>
          <w:rFonts w:ascii="Arial" w:cs="Arial" w:eastAsia="Arial" w:hAnsi="Arial"/>
          <w:sz w:val="17"/>
          <w:szCs w:val="17"/>
          <w:color w:val="auto"/>
        </w:rPr>
        <w:t>Even if we are able to generate revenues from the sale of Xilonix™ or any other product candidates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on the regulatory approval and commercialization of Xilonix™ and any of our other product candidates.</w:t>
      </w:r>
    </w:p>
    <w:p>
      <w:pPr>
        <w:spacing w:after="0" w:line="196"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do not have any products that have gained regulatory approval. Our lead product, Xilonix™, is currently in a Phase III clinical trial in the United States and completed a Phase III clinical trial during Q4 2015 in Europe, respectively. As a result, our near-term prospects, including our ability to finance our operations and generate revenue, are substantially dependent on our ability to obtain regulatory approval for, and, if approved, to successfully commercialize Xilonix™ in a timely manner. We cannot commercialize Xilonix™ or our other product candidates in the United States without first obtaining regulatory approval for each product from the FDA; similarly, we cannot commercialize Xilonix™ or our other product candidates outside of the United States without obtaining regulatory approval from comparable foreign regulatory authorities, including the EMA. The FDA review process typically takes years to complete and approval is never guaranteed. Before obtaining regulatory approvals for the commercial sale of any Xilonix™ or any of our other potential product candidates for a target indication, we must demonstrate with substantial evidence gathered in preclinical and well-controlled clinical studies, generally including two well-controlled Phase III trials, and, with respect to approval in the United States, to the satisfaction of the FDA, that the product candidate is safe and effective for use for that target indication and that the manufacturing facilities, processes and controls are adequate. Obtaining regulatory approval for marketing of Xilonix™ or our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right="80" w:firstLine="441"/>
        <w:spacing w:after="0" w:line="291" w:lineRule="auto"/>
        <w:rPr>
          <w:sz w:val="20"/>
          <w:szCs w:val="20"/>
          <w:color w:val="auto"/>
        </w:rPr>
      </w:pPr>
      <w:r>
        <w:rPr>
          <w:rFonts w:ascii="Arial" w:cs="Arial" w:eastAsia="Arial" w:hAnsi="Arial"/>
          <w:sz w:val="16"/>
          <w:szCs w:val="16"/>
          <w:color w:val="auto"/>
        </w:rPr>
        <w:t>Even if Xilonix™ or any of our other product candidates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Xilonix™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any of Xilonix™ or our other product candidates, once obtained, may be withdrawn. Furthermore, even if we obtain regulatory approval for Xilonix™, the commercial success of Xilonix™ will depend on a number of factors, including the following:</w:t>
      </w:r>
    </w:p>
    <w:p>
      <w:pPr>
        <w:spacing w:after="0" w:line="1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a commercial organization or establishment of a commercial collaboration with a commercial infrastructure;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of commercially viable pricing and obtaining approval for adequate reimbursement from third-party and government payors;</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quantities of Xilonix™ using commercially sufficient processes and at a scale sufficient to meet anticipated demand and enable us to reduce our cost of manufacturing;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Xilonix™;</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Xilonix™ as safe and effective by patients and the medical community;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continued acceptable safety profile of Xilonix™ following approval.</w:t>
      </w:r>
    </w:p>
    <w:p>
      <w:pPr>
        <w:spacing w:after="0" w:line="200" w:lineRule="exact"/>
        <w:rPr>
          <w:sz w:val="20"/>
          <w:szCs w:val="20"/>
          <w:color w:val="auto"/>
        </w:rPr>
      </w:pPr>
    </w:p>
    <w:p>
      <w:pPr>
        <w:spacing w:after="0" w:line="20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Many of these factors are beyond our control. If we are unable to successfully commercialize Xilonix™, we may not be able to earn sufficient revenues to continue our business.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recently submitted a Marketing Authorization Application the EMA for Xilonix</w:t>
      </w:r>
      <w:r>
        <w:rPr>
          <w:rFonts w:ascii="Arial" w:cs="Arial" w:eastAsia="Arial" w:hAnsi="Arial"/>
          <w:sz w:val="26"/>
          <w:szCs w:val="26"/>
          <w:b w:val="1"/>
          <w:bCs w:val="1"/>
          <w:i w:val="1"/>
          <w:iCs w:val="1"/>
          <w:color w:val="auto"/>
          <w:vertAlign w:val="superscript"/>
        </w:rPr>
        <w:t>TM</w:t>
      </w:r>
      <w:r>
        <w:rPr>
          <w:rFonts w:ascii="Arial" w:cs="Arial" w:eastAsia="Arial" w:hAnsi="Arial"/>
          <w:sz w:val="16"/>
          <w:szCs w:val="16"/>
          <w:b w:val="1"/>
          <w:bCs w:val="1"/>
          <w:i w:val="1"/>
          <w:iCs w:val="1"/>
          <w:color w:val="auto"/>
        </w:rPr>
        <w:t xml:space="preserve"> after successfully completing a Phase III clinical trial in</w:t>
      </w:r>
    </w:p>
    <w:p>
      <w:pPr>
        <w:ind w:right="620"/>
        <w:spacing w:after="0" w:line="204" w:lineRule="auto"/>
        <w:rPr>
          <w:sz w:val="20"/>
          <w:szCs w:val="20"/>
          <w:color w:val="auto"/>
        </w:rPr>
      </w:pPr>
      <w:r>
        <w:rPr>
          <w:rFonts w:ascii="Arial" w:cs="Arial" w:eastAsia="Arial" w:hAnsi="Arial"/>
          <w:sz w:val="18"/>
          <w:szCs w:val="18"/>
          <w:b w:val="1"/>
          <w:bCs w:val="1"/>
          <w:i w:val="1"/>
          <w:iCs w:val="1"/>
          <w:color w:val="auto"/>
        </w:rPr>
        <w:t>Europe. Even if the EMA approves Xilonix</w:t>
      </w:r>
      <w:r>
        <w:rPr>
          <w:rFonts w:ascii="Arial" w:cs="Arial" w:eastAsia="Arial" w:hAnsi="Arial"/>
          <w:sz w:val="30"/>
          <w:szCs w:val="30"/>
          <w:b w:val="1"/>
          <w:bCs w:val="1"/>
          <w:i w:val="1"/>
          <w:iCs w:val="1"/>
          <w:color w:val="auto"/>
          <w:vertAlign w:val="superscript"/>
        </w:rPr>
        <w:t>TM</w:t>
      </w:r>
      <w:r>
        <w:rPr>
          <w:rFonts w:ascii="Arial" w:cs="Arial" w:eastAsia="Arial" w:hAnsi="Arial"/>
          <w:sz w:val="18"/>
          <w:szCs w:val="18"/>
          <w:b w:val="1"/>
          <w:bCs w:val="1"/>
          <w:i w:val="1"/>
          <w:iCs w:val="1"/>
          <w:color w:val="auto"/>
        </w:rPr>
        <w:t xml:space="preserve"> there are a number of obstacles to consider in the post-marketing approval and commercialization processes in Europe.</w:t>
      </w:r>
    </w:p>
    <w:p>
      <w:pPr>
        <w:spacing w:after="0" w:line="177"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On March 7, 2016, we submitted our Marketing Authorization Application, or MAA, to the EMA Center for Human Medicinal Products, or CHMP, for the Phase III clinical trial of Xilonix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completed in Europe during Q4 2015. The regulatory assessment process at the EMA is both long and expensive and may not lead to a subsequent approval. In the initial MAA submission to the EMA, the regulatory body must validate the application prior to its official assessment. As of March 14, 2016 we are currently undergoing the content validation stage of the submission. The EMA can return with questions about the content and require specific updates or changes. This can delay our timeline or result in halting of our application process before reaching the assessment phase.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bookmarkStart w:id="25" w:name="page26"/>
    <w:bookmarkEnd w:id="25"/>
    <w:p>
      <w:pPr>
        <w:ind w:firstLine="441"/>
        <w:spacing w:after="0" w:line="273" w:lineRule="auto"/>
        <w:rPr>
          <w:sz w:val="20"/>
          <w:szCs w:val="20"/>
          <w:color w:val="auto"/>
        </w:rPr>
      </w:pPr>
      <w:r>
        <w:rPr>
          <w:rFonts w:ascii="Arial" w:cs="Arial" w:eastAsia="Arial" w:hAnsi="Arial"/>
          <w:sz w:val="17"/>
          <w:szCs w:val="17"/>
          <w:color w:val="auto"/>
        </w:rPr>
        <w:t>We have been approved for review under the Centralised Procedure at the EMA, which generally means that it takes 210 days. However, we submitted a request to the EMA to be reviewed under the Accelerated Assessment procedure, which has a general duration of 150 days. We may not be approved for the Accelerated Assessment procedure, which can delay the timeline of learning of the EMA decision on the overall assessment of our application. Furthermore, the EMA has the ability to “stop the clock” of the assessment timeline if there are any questions about the application that arise. We are given a specific amount of time to respond to such questions, and must do so to the satisfaction of the EMA before the clock resumes. This can cause further delays and overall uncertainty as to when we receive an official decision as to whether or not our application is approved.</w:t>
      </w:r>
    </w:p>
    <w:p>
      <w:pPr>
        <w:spacing w:after="0" w:line="15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During the assessment period, our manufacturing facilities will most likely be audited. They must meet the standards of Good Manufacturing Practices, or GMP. If the GMP inspectors assigned to auditing the manufacturing facilities finds any violations we may experience potential challenges in the overall</w:t>
      </w:r>
    </w:p>
    <w:p>
      <w:pPr>
        <w:ind w:right="20"/>
        <w:spacing w:after="0" w:line="229" w:lineRule="auto"/>
        <w:rPr>
          <w:sz w:val="20"/>
          <w:szCs w:val="20"/>
          <w:color w:val="auto"/>
        </w:rPr>
      </w:pPr>
      <w:r>
        <w:rPr>
          <w:rFonts w:ascii="Arial" w:cs="Arial" w:eastAsia="Arial" w:hAnsi="Arial"/>
          <w:sz w:val="18"/>
          <w:szCs w:val="18"/>
          <w:color w:val="auto"/>
        </w:rPr>
        <w:t>approval and assessment process, and potentially, the ability to commercially manufacture Xilonix</w:t>
      </w:r>
      <w:r>
        <w:rPr>
          <w:rFonts w:ascii="Arial" w:cs="Arial" w:eastAsia="Arial" w:hAnsi="Arial"/>
          <w:sz w:val="30"/>
          <w:szCs w:val="30"/>
          <w:color w:val="auto"/>
          <w:vertAlign w:val="superscript"/>
        </w:rPr>
        <w:t>TM</w:t>
      </w:r>
      <w:r>
        <w:rPr>
          <w:rFonts w:ascii="Arial" w:cs="Arial" w:eastAsia="Arial" w:hAnsi="Arial"/>
          <w:sz w:val="18"/>
          <w:szCs w:val="18"/>
          <w:color w:val="auto"/>
        </w:rPr>
        <w:t>. Additionally, our new manufacturing facility is scheduled to go through validation with the EMA. The new facility might fail validation or not meet EMA standards for a commercial manufacturing facility. Also, during the assessment period, our clinical research sites engaged to recruit patients into the clinical trial, will most likely be audited to ensure standards of Good Clinical Practice, or GCP. The EMA could have findings showing that our clinical research sites, or other aspects of the trial failed to meet GCP standards potentially impacting or delaying approval.</w:t>
      </w:r>
    </w:p>
    <w:p>
      <w:pPr>
        <w:spacing w:after="0" w:line="167" w:lineRule="exact"/>
        <w:rPr>
          <w:sz w:val="20"/>
          <w:szCs w:val="20"/>
          <w:color w:val="auto"/>
        </w:rPr>
      </w:pPr>
    </w:p>
    <w:p>
      <w:pPr>
        <w:ind w:right="60" w:firstLine="441"/>
        <w:spacing w:after="0" w:line="251" w:lineRule="auto"/>
        <w:rPr>
          <w:sz w:val="20"/>
          <w:szCs w:val="20"/>
          <w:color w:val="auto"/>
        </w:rPr>
      </w:pPr>
      <w:r>
        <w:rPr>
          <w:rFonts w:ascii="Arial" w:cs="Arial" w:eastAsia="Arial" w:hAnsi="Arial"/>
          <w:sz w:val="16"/>
          <w:szCs w:val="16"/>
          <w:color w:val="auto"/>
        </w:rPr>
        <w:t>There are a few possibilities surrounding the regulatory approval status of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at the EMA: 1) The EMA may not approve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due to our failure to prove our endpoints to the satisfaction of the CHMP committee members, who may be different individuals or share a different thinking from the Scientific Advice Working Group at the EMA whom we worked with to design the trial, thus there may be a general lack of buy-in from the reviewing</w:t>
      </w:r>
    </w:p>
    <w:p>
      <w:pPr>
        <w:spacing w:after="0" w:line="2" w:lineRule="exact"/>
        <w:rPr>
          <w:sz w:val="20"/>
          <w:szCs w:val="20"/>
          <w:color w:val="auto"/>
        </w:rPr>
      </w:pPr>
    </w:p>
    <w:p>
      <w:pPr>
        <w:jc w:val="both"/>
        <w:ind w:right="60"/>
        <w:spacing w:after="0" w:line="247" w:lineRule="auto"/>
        <w:rPr>
          <w:sz w:val="20"/>
          <w:szCs w:val="20"/>
          <w:color w:val="auto"/>
        </w:rPr>
      </w:pPr>
      <w:r>
        <w:rPr>
          <w:rFonts w:ascii="Arial" w:cs="Arial" w:eastAsia="Arial" w:hAnsi="Arial"/>
          <w:sz w:val="16"/>
          <w:szCs w:val="16"/>
          <w:color w:val="auto"/>
        </w:rPr>
        <w:t>committee, or other unforeseeable disagreement with the study design; 2) The EMA may approve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 but with caveats such as conducting follow up clinical trials to show further safety data or additional data for endpoints established in the study protocol. Conducting additional studies would be expensive and time consuming, and present further roadblocks to full approval and commercialization, thus preventing us from generating revenue for the company; or</w:t>
      </w:r>
    </w:p>
    <w:p>
      <w:pPr>
        <w:spacing w:after="0" w:line="2" w:lineRule="exact"/>
        <w:rPr>
          <w:sz w:val="20"/>
          <w:szCs w:val="20"/>
          <w:color w:val="auto"/>
        </w:rPr>
      </w:pPr>
    </w:p>
    <w:p>
      <w:pPr>
        <w:ind w:right="180" w:firstLine="8"/>
        <w:spacing w:after="0" w:line="234" w:lineRule="auto"/>
        <w:tabs>
          <w:tab w:leader="none" w:pos="1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EMA may approve Xilonix</w:t>
      </w:r>
      <w:r>
        <w:rPr>
          <w:rFonts w:ascii="Arial" w:cs="Arial" w:eastAsia="Arial" w:hAnsi="Arial"/>
          <w:sz w:val="26"/>
          <w:szCs w:val="26"/>
          <w:color w:val="auto"/>
          <w:vertAlign w:val="superscript"/>
        </w:rPr>
        <w:t>TM</w:t>
      </w:r>
      <w:r>
        <w:rPr>
          <w:rFonts w:ascii="Arial" w:cs="Arial" w:eastAsia="Arial" w:hAnsi="Arial"/>
          <w:sz w:val="16"/>
          <w:szCs w:val="16"/>
          <w:color w:val="auto"/>
        </w:rPr>
        <w:t>. If the EMA approves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there are additional steps we must take for full marketing and commercialization of the product. EMA approval does not guarantee country specific reimbursement across the EU. We still must pursue review of product for pricing and</w:t>
      </w:r>
    </w:p>
    <w:p>
      <w:pPr>
        <w:spacing w:after="0" w:line="2"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reimbursement, which requires additional time and cost. Even though the EMA may approve Xilonix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this does not necessarily guarantee certain EU countries will accept our product for reimbursement. We could face no acceptance for reimbursement in any country, or reimbursement in very few countries, thus minimizing our ability to generate sufficient revenue.</w:t>
      </w:r>
    </w:p>
    <w:p>
      <w:pPr>
        <w:spacing w:after="0" w:line="164" w:lineRule="exact"/>
        <w:rPr>
          <w:sz w:val="20"/>
          <w:szCs w:val="20"/>
          <w:color w:val="auto"/>
        </w:rPr>
      </w:pPr>
    </w:p>
    <w:p>
      <w:pPr>
        <w:ind w:firstLine="441"/>
        <w:spacing w:after="0" w:line="218" w:lineRule="auto"/>
        <w:rPr>
          <w:sz w:val="20"/>
          <w:szCs w:val="20"/>
          <w:color w:val="auto"/>
        </w:rPr>
      </w:pPr>
      <w:r>
        <w:rPr>
          <w:rFonts w:ascii="Arial" w:cs="Arial" w:eastAsia="Arial" w:hAnsi="Arial"/>
          <w:sz w:val="16"/>
          <w:szCs w:val="16"/>
          <w:color w:val="auto"/>
        </w:rPr>
        <w:t>In addition to seeking approval in specific EU countries, we must also gain reimbursement approval, as well as buy-in from patients and health care professionals alike for the use of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 treat advanced metastatic colorectal cancer. If we do not receive reimbursement from country or private payers in the EU,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may not reach or be accessible to patients or health care professionals. Even if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approved for reimbursement in EU countries, it may not always maintain its reimbursement status. Some countries may decide to no longer reimburse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for unforeseeable reasons. Further, patients and health care professionals may reject Xilonix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reasonable standard of care treatment for advanced metastatic colorectal cancer. If</w:t>
      </w:r>
    </w:p>
    <w:p>
      <w:pPr>
        <w:spacing w:after="0" w:line="5"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patients and healthcare professionals reject Xilonix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a treatment for advanced metastatic colorectal cancer, then it will be difficult to generate revenue for the company.</w:t>
      </w:r>
    </w:p>
    <w:p>
      <w:pPr>
        <w:spacing w:after="0" w:line="181" w:lineRule="exact"/>
        <w:rPr>
          <w:sz w:val="20"/>
          <w:szCs w:val="20"/>
          <w:color w:val="auto"/>
        </w:rPr>
      </w:pPr>
    </w:p>
    <w:p>
      <w:pPr>
        <w:ind w:right="180" w:firstLine="441"/>
        <w:spacing w:after="0" w:line="242" w:lineRule="auto"/>
        <w:rPr>
          <w:sz w:val="20"/>
          <w:szCs w:val="20"/>
          <w:color w:val="auto"/>
        </w:rPr>
      </w:pPr>
      <w:r>
        <w:rPr>
          <w:rFonts w:ascii="Arial" w:cs="Arial" w:eastAsia="Arial" w:hAnsi="Arial"/>
          <w:sz w:val="17"/>
          <w:szCs w:val="17"/>
          <w:color w:val="auto"/>
        </w:rPr>
        <w:t>If Xilonix</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approved by the EMA, we do not have the appropriate personnel engaged as employees to conduct an effective marketing and commercialization strategy. As a result, we must pursue a strategic partnership through a contractual arrangement with an organization with the appropriate expertise. The cost-benefit of such an arrangement may not actualize profit and generate revenues on a short-term basis. Because we would entrust commercialization to an outside organization, there may be any number of issues that arise that we cannot foresee.</w:t>
      </w:r>
    </w:p>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Because the results of earlier clinical trials are not necessarily predictive of future results, Xilonix™, which is currently in an on-going Phase III clinical trial as well as a recently completed Phase III clinical trial, or any other product candidate we advance into clinical trials, may not have favorable results in later clinical trials or receive regulatory approval.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26" w:name="page27"/>
    <w:bookmarkEnd w:id="26"/>
    <w:p>
      <w:pPr>
        <w:ind w:firstLine="441"/>
        <w:spacing w:after="0" w:line="271"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Despite the results reported in earlier clinical trials for Xilonix™, we do not know whether the clinical trials we are conducting, or may conduct, will demonstrate adequate efficacy and safety to result in regulatory approval to market Xilonix™ or any of our other product candidates in any particular jurisdiction. Even if we believe that we have adequate data to support an application for regulatory approval to market our product candidates, the FDA or other applicable foreign regulatory authorities may not agree and may require us to conduct additional clinical trials. If later-stage clinical trials do not produce favorable results, our ability to achieve regulatory approval for any of our product candidates may be adversely impacted.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w:t>
      </w:r>
    </w:p>
    <w:p>
      <w:pPr>
        <w:spacing w:after="0" w:line="18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(“CRO’s”) and clinical trial sites to ensure the proper and timely conduct of our clinical trials, and while we have agreements governing their committed activities, we have limited influence over their actual performance. We may experience delays in enrolling subjects in our trials and may not be able to enroll sufficient subjects to complete the trials.</w:t>
      </w:r>
    </w:p>
    <w:p>
      <w:pPr>
        <w:spacing w:after="0" w:line="13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If we experience delays in the completion or termination of, any clinical trial of Xilonix™ or any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Xilonix™ or our other product candidates.</w:t>
      </w:r>
    </w:p>
    <w:p>
      <w:pPr>
        <w:spacing w:after="0" w:line="14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regulatory authorities are lengthy, time consuming and inherently unpredictable, and if we are ultimately unable to obtain regulatory approval for Xilonix™ or our other product candidates, our business may fail.</w:t>
      </w:r>
    </w:p>
    <w:p>
      <w:pPr>
        <w:spacing w:after="0" w:line="8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Xilonix™ nor any other product candidates we are developing or may discover, in-license or acquire and seek to develop in the future will ever obtain regulatory approval.</w:t>
      </w:r>
    </w:p>
    <w:p>
      <w:pPr>
        <w:spacing w:after="0" w:line="153"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Our product candidates could fail to receive marketing approval from the FDA or a comparable foreign regulatory authority for many reasons, including:</w:t>
      </w:r>
    </w:p>
    <w:p>
      <w:pPr>
        <w:spacing w:after="0" w:line="14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bookmarkStart w:id="27" w:name="page28"/>
    <w:bookmarkEnd w:id="27"/>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Xilonix™ or our other product candidates to support the submission and filing of an NDA or other submission or to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irreparable or critical compliance issues relating to our manufacturing process;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00" w:lineRule="exact"/>
        <w:rPr>
          <w:sz w:val="20"/>
          <w:szCs w:val="20"/>
          <w:color w:val="auto"/>
        </w:rPr>
      </w:pPr>
    </w:p>
    <w:p>
      <w:pPr>
        <w:spacing w:after="0" w:line="20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Xilonix™ or our other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Xilonix™ or our other product candidate produces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on us. Any of the foregoing scenarios could materially harm the commercial prospects for our product candidates.</w:t>
      </w:r>
    </w:p>
    <w:p>
      <w:pPr>
        <w:spacing w:after="0" w:line="139"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Even if we believe our current or planned clinical trials are successful, the FDA or a comparable foreign regulatory authority may not agree that our completed clinical trials provide adequate data on the safety or efficacy of Xilonix™ or our other product candidates to permit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products in any market.</w:t>
      </w:r>
    </w:p>
    <w:p>
      <w:pPr>
        <w:spacing w:after="0" w:line="138" w:lineRule="exact"/>
        <w:rPr>
          <w:sz w:val="20"/>
          <w:szCs w:val="20"/>
          <w:color w:val="auto"/>
        </w:rPr>
      </w:pPr>
    </w:p>
    <w:p>
      <w:pPr>
        <w:ind w:right="600"/>
        <w:spacing w:after="0" w:line="381" w:lineRule="auto"/>
        <w:rPr>
          <w:sz w:val="20"/>
          <w:szCs w:val="20"/>
          <w:color w:val="auto"/>
        </w:rPr>
      </w:pPr>
      <w:r>
        <w:rPr>
          <w:rFonts w:ascii="Arial" w:cs="Arial" w:eastAsia="Arial" w:hAnsi="Arial"/>
          <w:sz w:val="15"/>
          <w:szCs w:val="15"/>
          <w:b w:val="1"/>
          <w:bCs w:val="1"/>
          <w:i w:val="1"/>
          <w:iCs w:val="1"/>
          <w:color w:val="auto"/>
        </w:rPr>
        <w:t>Xilonix™ or our other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6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Undesirable side effects caused by Xilonix™ or our other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discontinuance of further development of Xilonix™ or other product candidates, which would impair our ability to generate revenues and would have a material adverse effect our business, results of operations, financial condition and cash flows and future prospects. To date the majority of adverse events observed in clinical trials of Xilonix™ have been mild and have not resulted in discontinuation of therapy. There have been no serious side effects observed that appear to be related to administration of Xilonix™ in our clinical trials. There can be no assurance that side effects from Xilonix™ in future clinical trials will continue to be mild or that side effects in general will not prompt the discontinued development of Xilonix™ or other product candidates. If serious side effects or other safety or toxicity issues are experienced in our clinical trials in the future, we may not receive approval to market Xilonix™ or any other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8" w:name="page29"/>
    <w:bookmarkEnd w:id="28"/>
    <w:p>
      <w:pPr>
        <w:ind w:right="200" w:firstLine="441"/>
        <w:spacing w:after="0" w:line="277" w:lineRule="auto"/>
        <w:rPr>
          <w:sz w:val="20"/>
          <w:szCs w:val="20"/>
          <w:color w:val="auto"/>
        </w:rPr>
      </w:pPr>
      <w:r>
        <w:rPr>
          <w:rFonts w:ascii="Arial" w:cs="Arial" w:eastAsia="Arial" w:hAnsi="Arial"/>
          <w:sz w:val="18"/>
          <w:szCs w:val="18"/>
          <w:color w:val="auto"/>
        </w:rPr>
        <w:t>Additionally, if Xilonix™ or any of our other product candidates receives marketing approval, and we or others later identify undesirable side effects caused by such product, a number of potentially significant negative consequences could result, including:</w:t>
      </w:r>
    </w:p>
    <w:p>
      <w:pPr>
        <w:spacing w:after="0" w:line="14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170"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Xilonix™ or our other product candidates receive regulatory approval, they may still face future development and regulatory difficulties.</w:t>
      </w:r>
    </w:p>
    <w:p>
      <w:pPr>
        <w:spacing w:after="0" w:line="22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Even if we obtain regulatory approval for Xilonix™ or another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Xilonix™ or any other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Xilonix™, if it achieves marketing approval, may include restrictions on use.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29" w:name="page30"/>
    <w:bookmarkEnd w:id="29"/>
    <w:p>
      <w:pPr>
        <w:ind w:right="20" w:firstLine="441"/>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restrictions on the marketing or manufacturing of the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00" w:lineRule="exact"/>
        <w:rPr>
          <w:sz w:val="20"/>
          <w:szCs w:val="20"/>
          <w:color w:val="auto"/>
        </w:rPr>
      </w:pPr>
    </w:p>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Xilonix™ or any other product candidates and generate revenue.</w:t>
      </w:r>
    </w:p>
    <w:p>
      <w:pPr>
        <w:spacing w:after="0" w:line="13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United States will be heavily scrutinized by the FDA, the Department of Justice, or the DOJ, the Office of Inspector General of the Department of Health and Human Services, or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United States will be heavily scrutinized by comparable foreign regulatory authorities.</w:t>
      </w:r>
    </w:p>
    <w:p>
      <w:pPr>
        <w:spacing w:after="0" w:line="162" w:lineRule="exact"/>
        <w:rPr>
          <w:sz w:val="20"/>
          <w:szCs w:val="20"/>
          <w:color w:val="auto"/>
        </w:rPr>
      </w:pPr>
    </w:p>
    <w:p>
      <w:pPr>
        <w:ind w:right="100" w:firstLine="441"/>
        <w:spacing w:after="0" w:line="287" w:lineRule="auto"/>
        <w:rPr>
          <w:sz w:val="20"/>
          <w:szCs w:val="20"/>
          <w:color w:val="auto"/>
        </w:rPr>
      </w:pPr>
      <w:r>
        <w:rPr>
          <w:rFonts w:ascii="Arial" w:cs="Arial" w:eastAsia="Arial" w:hAnsi="Arial"/>
          <w:sz w:val="16"/>
          <w:szCs w:val="16"/>
          <w:color w:val="auto"/>
        </w:rPr>
        <w:t>In the United States, engaging in impermissible promotion of our future products for off-label uses can also subject us to false claims litigation under federal and state statutes, which can lead to civil, criminal and/or administrative penalties and fines and agreements that materially restrict the manner in which we promote or distribute our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these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 action, pay settlement fines or restitution, agree to comply with burdensome reporting and compliance obligations, and be excluded from the Medicare, Medicaid and other federal and state healthcare programs. If we do not lawfully promote our approved products, we may become subject to such litigation and, if we are not successful in defending against such actions, those actions could have a material adverse effect our business, results of operations, financial condition and cash flows and future prospects.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0" w:name="page31"/>
    <w:bookmarkEnd w:id="30"/>
    <w:p>
      <w:pPr>
        <w:ind w:right="180" w:firstLine="441"/>
        <w:spacing w:after="0" w:line="257" w:lineRule="auto"/>
        <w:rPr>
          <w:sz w:val="20"/>
          <w:szCs w:val="20"/>
          <w:color w:val="auto"/>
        </w:rPr>
      </w:pPr>
      <w:r>
        <w:rPr>
          <w:rFonts w:ascii="Arial" w:cs="Arial" w:eastAsia="Arial" w:hAnsi="Arial"/>
          <w:sz w:val="18"/>
          <w:szCs w:val="18"/>
          <w:color w:val="auto"/>
        </w:rPr>
        <w:t>Existing government regulations may change and additional government regulations may be enacted that could prevent, limit or delay regulatory approval of Xilonix™ or any other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achieve or sustain profitability.</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Xilonix™ or any other product candidates from being marketed in those jurisdictions.</w:t>
      </w:r>
    </w:p>
    <w:p>
      <w:pPr>
        <w:spacing w:after="0" w:line="130"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Xilonix™ for any of our other product candidates by regulatory authorities in the European Union or another jurisdiction, the commercial prospects of that product candidate may be significantly diminished and our business prospects could decline.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Xilonix™ or our other product candidates, the products may not receive coverage and adequate reimbursement from third-party payors, which could harm our business.</w:t>
      </w:r>
    </w:p>
    <w:p>
      <w:pPr>
        <w:spacing w:after="0" w:line="14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payors. 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Xilonix™ or our other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1" w:name="page32"/>
    <w:bookmarkEnd w:id="31"/>
    <w:p>
      <w:pPr>
        <w:ind w:firstLine="441"/>
        <w:spacing w:after="0" w:line="268"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not be 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Coverage and reimbursement for drug products can differ significantly from payor to payor. As a result, the coverage and reimbursement determination process is often a time-consuming and costly process with no assurance that coverage and adequate reimbursement will be obtained or applied consistently. Third-party payors often rely upon Medicare coverage policy and payment limitations in setting their own coverage and reimbursement policies.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3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drug products and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Xilonix™ and our other product candidates, if approved, may not achieve adequate market acceptance among physicians, patients, and healthcare payors and others in the medical community necessary for commercial success.</w:t>
      </w:r>
    </w:p>
    <w:p>
      <w:pPr>
        <w:spacing w:after="0" w:line="143" w:lineRule="exact"/>
        <w:rPr>
          <w:sz w:val="20"/>
          <w:szCs w:val="20"/>
          <w:color w:val="auto"/>
        </w:rPr>
      </w:pPr>
    </w:p>
    <w:p>
      <w:pPr>
        <w:ind w:right="320" w:firstLine="441"/>
        <w:spacing w:after="0" w:line="276" w:lineRule="auto"/>
        <w:rPr>
          <w:sz w:val="20"/>
          <w:szCs w:val="20"/>
          <w:color w:val="auto"/>
        </w:rPr>
      </w:pPr>
      <w:r>
        <w:rPr>
          <w:rFonts w:ascii="Arial" w:cs="Arial" w:eastAsia="Arial" w:hAnsi="Arial"/>
          <w:sz w:val="17"/>
          <w:szCs w:val="17"/>
          <w:color w:val="auto"/>
        </w:rPr>
        <w:t>Even if we obtain regulatory approval for Xilonix™ or any of our other product candidates, such product(s) may not gain market acceptance among physicians, healthcare payors, patients or the medical community. Our commercial success also depends on coverage and adequate reimbursement of our product candidates by third-party payors, including government payors,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3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candidate as a safe and effective treatment;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a product candidate’s use outside the approved indications;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2" w:name="page33"/>
    <w:bookmarkEnd w:id="32"/>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our collaborators;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among physicians, patients, or healthcare payors, we will not be able to generate significant revenues, which would compromise our ability to become profitable.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Programs May Not Succeed</w:t>
      </w: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this time we have a number of programs in pre-clinical as well as early to late stages of clinical development including:</w:t>
      </w:r>
    </w:p>
    <w:p>
      <w:pPr>
        <w:spacing w:after="0" w:line="18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Metastatic Colorectal Cancer (mCRC)</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Non-Small Cell Lung Cancer (NSCLC)</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Atherosclerosis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Pyoderma Gangrenosum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Staphyloccocus Aureus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Clostridium Difficile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Ebola</w:t>
      </w:r>
    </w:p>
    <w:p>
      <w:pPr>
        <w:spacing w:after="0" w:line="19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the past several months, XBiotech has positioned itself with a pipeline of potential drug candidates at a variety of stages, from development and pre-clinical through Phase III. Even though we have many drugs in development at this time, none of these research programs may succeed. There are several reasons why a drug program may fail:</w:t>
      </w:r>
    </w:p>
    <w:p>
      <w:pPr>
        <w:spacing w:after="0" w:line="141" w:lineRule="exact"/>
        <w:rPr>
          <w:sz w:val="20"/>
          <w:szCs w:val="20"/>
          <w:color w:val="auto"/>
        </w:rPr>
      </w:pPr>
    </w:p>
    <w:p>
      <w:pPr>
        <w:ind w:left="340" w:right="4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development stage, we may be unable to develop a therapy, which would mean us succeeding in isolating appropriate antibodies to reach the clinical trial stage</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partnerships for the development of antibodies could fail to produce results that would necessitate clinical trials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receive approval from regulatory bodies to move from early stage clinical trials to later stage clinical trials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Even if we are able to move to later stage clinical trials, it may prove to be difficult to enroll patients into the studies according to schedule, or at all</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 clinical trial is completed, we may not have the appropriate personnel to submit a marketing application to regulatory authorities for approval</w:t>
      </w:r>
    </w:p>
    <w:p>
      <w:pPr>
        <w:spacing w:after="0" w:line="128"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reject drug candidates for a variety of reasons, preventing us to proceed with marketing and commercialization of approved products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run out of funds necessary to complete development for any of our potential drug candidates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Even an Effective Drug Candidate Might Not Be Commercially Successful</w:t>
      </w:r>
      <w:r>
        <w:rPr>
          <w:rFonts w:ascii="Arial" w:cs="Arial" w:eastAsia="Arial" w:hAnsi="Arial"/>
          <w:sz w:val="18"/>
          <w:szCs w:val="18"/>
          <w:b w:val="1"/>
          <w:bCs w:val="1"/>
          <w:color w:val="auto"/>
        </w:rPr>
        <w:t>.</w:t>
      </w:r>
    </w:p>
    <w:p>
      <w:pPr>
        <w:spacing w:after="0" w:line="202"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Even if we ultimately succeed in creating a safe and effective drug based on our current drug candidate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XBiotech’s promises regarding donation of five percent of any gross revenues from an Ebola drug developed using the blood sample it received may adversely impact XBiotech and its shareholders.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payors will decide to add to their respective prescription drug formularies for reimbursement, thus inhibiting the ability for our drug candidates to reach the target patient populations, and health care professionals serving those patients.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19"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 xml:space="preserve">The development and commercialization of new drug products is highly competitive. We face competition with respect to our current lead product candidate, Xilonix™ for the treatment of colorectal cancer from Vectibix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by Amgen; Erbitux by Bristol Myers Squibb; Cyramza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by Eli Lilly and Company and Avastin by Genentech/Roche. Our competitors in the other therapeutic categories that we are addressing which are non-small cell lung cancer, restenosis in peripheral vascular disease, diabetes and psoriasis are Humira from AbbVie, Remicade and Stellara from J&amp;J, Enbrel from Amgen and Necitmumab from Eli Lilly and Company. In the infectious disease area, there are no currently approved monoclonal antibody products, although many have been tried. The leading small-molecule antibiotics are Vancomycin, originally from Eli Lilly and Company now in a generic form from Baxter, Sandoz, Akorn and Hospira; Cubicin (Daptomycin) from Cubist and Dalvance from Durata.</w:t>
      </w:r>
    </w:p>
    <w:p>
      <w:pPr>
        <w:spacing w:after="0" w:line="175"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color w:val="auto"/>
        </w:rPr>
        <w:t>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Xilonix™ or any of our other product candidates. In addition, many companies are developing new therapeutics, and we cannot predict what the standard of care will be as our product candidates progress through clinical development.</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acquire, develop and commercialize additional product candidates or approved products other than Xilonix™ could impair our ability to grow.</w:t>
      </w:r>
    </w:p>
    <w:p>
      <w:pPr>
        <w:spacing w:after="0" w:line="14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Although a substantial amount of our efforts will focus on the continued clinical testing and potential approval of our most advanced product candidate, Xilonix™,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48" w:right="27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233"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Xilonix™ and any other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00" w:lineRule="exact"/>
        <w:rPr>
          <w:sz w:val="20"/>
          <w:szCs w:val="20"/>
          <w:color w:val="auto"/>
        </w:rPr>
      </w:pPr>
    </w:p>
    <w:p>
      <w:pPr>
        <w:spacing w:after="0" w:line="20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intend to obtain insurance coverage for products to include the sale of commercial products if we obtain marketing approval for Xilonix™ or our other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grow the size of our organization, and we may experience difficulties in managing this growth.</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35" w:name="page36"/>
    <w:bookmarkEnd w:id="35"/>
    <w:p>
      <w:pPr>
        <w:ind w:right="40" w:firstLine="441"/>
        <w:spacing w:after="0" w:line="259" w:lineRule="auto"/>
        <w:rPr>
          <w:sz w:val="20"/>
          <w:szCs w:val="20"/>
          <w:color w:val="auto"/>
        </w:rPr>
      </w:pPr>
      <w:r>
        <w:rPr>
          <w:rFonts w:ascii="Arial" w:cs="Arial" w:eastAsia="Arial" w:hAnsi="Arial"/>
          <w:sz w:val="18"/>
          <w:szCs w:val="18"/>
          <w:color w:val="auto"/>
        </w:rPr>
        <w:t>As of March 13, 2016, we had 84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6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 with the expertise and experience we will require;</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accomplish any of these tasks could prevent us from successfully growing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our Chief Executive Officer.</w:t>
      </w:r>
    </w:p>
    <w:p>
      <w:pPr>
        <w:spacing w:after="0" w:line="198"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13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Senior Vice President of Operations, our Vice President of Manufacturing, our Vice President of Quality, our Director of Research and Development, our Director of Quality Control and our Vice President of Finance and Human Resources. Changes in our management team may be disruptive to our business.</w:t>
      </w:r>
    </w:p>
    <w:p>
      <w:pPr>
        <w:spacing w:after="0" w:line="146"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Competition for qualified personnel is particularly intense in the Austin area, where our headquarters are located. Our failure to retain key personnel could impede the achievement of our research, development and commercialization objectives.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6" w:name="page37"/>
    <w:bookmarkEnd w:id="36"/>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3"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We are subject to numerous environmental, health and safety laws and regulations in the United States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31"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8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or other business interruption. The ultimate impact on us, our significant suppliers and our general infrastructure of being consolidated in certain geographical areas is unknown, but our operations and financial condition could suffer in the event of a major earthquake, fire or other natural disaster. Further, any significant uninsured liability may require us to pay substantial amounts, which would adversely affect our business, results of operations, financial condition and cash flows from future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obtain or protect intellectual property rights, our competitive position could be harmed.</w:t>
      </w:r>
    </w:p>
    <w:p>
      <w:pPr>
        <w:spacing w:after="0" w:line="189"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United States and other countries with respect to our proprietary technology and products. Where we deem appropriate, we seek to protect our proprietary position by filing patent applications in the United States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7" w:name="page38"/>
    <w:bookmarkEnd w:id="37"/>
    <w:p>
      <w:pPr>
        <w:ind w:right="20" w:firstLine="441"/>
        <w:spacing w:after="0" w:line="255"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66"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With respect to patent rights, we do not know whether any of existing patents or pending patent applications for any of our technologies or product candidates will result in the issuance of patents that protect such technologies or products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may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any competitive advantage we may have.</w:t>
      </w:r>
    </w:p>
    <w:p>
      <w:pPr>
        <w:spacing w:after="0" w:line="185"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0" w:lineRule="exact"/>
        <w:rPr>
          <w:sz w:val="20"/>
          <w:szCs w:val="20"/>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MABp1 or our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the issued patent or pending patent application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185"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340" w:right="540" w:hanging="332"/>
        <w:spacing w:after="0" w:line="28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technology may be found to infringe third-party intellectual property rights.</w:t>
      </w:r>
    </w:p>
    <w:p>
      <w:pPr>
        <w:spacing w:after="0" w:line="198"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adversely affected.</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products, methods, processes and other technologies infringe the proprietary rights of other parties, we could incur substantial costs and we may have to:</w:t>
      </w:r>
    </w:p>
    <w:p>
      <w:pPr>
        <w:spacing w:after="0" w:line="13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 an infringing drug or therapy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Shares of our Common Stock</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share price may be volatile, which could subject us to securities class action litigation and prevent you from being able to sell your shares at or above the offering price.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stock could be subject to wide fluctuations in response to many risk factors listed in this section, and others beyond our control, including:</w:t>
      </w:r>
    </w:p>
    <w:p>
      <w:pPr>
        <w:spacing w:after="0" w:line="21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316" w:gutter="0" w:footer="0" w:header="0"/>
        </w:sectPr>
      </w:pPr>
    </w:p>
    <w:bookmarkStart w:id="39" w:name="page40"/>
    <w:bookmarkEnd w:id="39"/>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5"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0" w:lineRule="exact"/>
        <w:rPr>
          <w:sz w:val="20"/>
          <w:szCs w:val="20"/>
          <w:color w:val="auto"/>
        </w:rPr>
      </w:pPr>
    </w:p>
    <w:p>
      <w:pPr>
        <w:spacing w:after="0" w:line="201"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after this offering does not exceed the initial public offering price, you may not realize any return on your investment in us and may lose some or all of your investment.</w:t>
      </w:r>
    </w:p>
    <w:p>
      <w:pPr>
        <w:spacing w:after="0" w:line="1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our company after our initial public offering in April 2015 and could delay or prevent a change in corporate control.</w:t>
      </w:r>
    </w:p>
    <w:p>
      <w:pPr>
        <w:spacing w:after="0" w:line="13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Right after our April 2015 offering, our directors, executive officers and principal shareholders, together with their affiliates, beneficially own, in the aggregate, at least 10 million shares or approximately 32% of our outstanding common stock, and could own up to 13 Million shares or 40% of our outstanding common stock if they fully exercise their outstanding stock options or shares.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our company. Accordingly, this concentration of ownership may harm the market price of our common stock by:</w:t>
      </w:r>
    </w:p>
    <w:p>
      <w:pPr>
        <w:spacing w:after="0" w:line="1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our initial public offering in April 2015 and may not use them effectively.</w:t>
      </w:r>
    </w:p>
    <w:p>
      <w:pPr>
        <w:spacing w:after="0" w:line="21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intend to continue to allocate the net proceeds that we received from the April 2015 offering as described below in the “Use of Proceeds” section of our Prospectus. However, our management will have broad discretion in the actual application of the net proceeds, and we may elect to allocate proceeds differently from that described in “Use of Proceeds” if we believe it would be in our best interests to do so. Our shareholders may not agree with the manner in which our management chooses to allocate and spend the net proceeds. The failure by our management to apply these funds effectively could have a material adverse effect on our business. Pending their use, we may invest the net proceeds from this offering in a manner that does not produce income or that loses value.</w:t>
      </w:r>
    </w:p>
    <w:p>
      <w:pPr>
        <w:spacing w:after="0" w:line="15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Canadian law could make an acquisition of us, which may be beneficial to our shareholders, more difficult and may prevent attempts by our shareholders to replace or remove our current management.</w:t>
      </w:r>
    </w:p>
    <w:p>
      <w:pPr>
        <w:spacing w:after="0" w:line="13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shares.</w:t>
      </w:r>
    </w:p>
    <w:p>
      <w:pPr>
        <w:spacing w:after="0" w:line="160" w:lineRule="exact"/>
        <w:rPr>
          <w:sz w:val="20"/>
          <w:szCs w:val="20"/>
          <w:color w:val="auto"/>
        </w:rPr>
      </w:pPr>
    </w:p>
    <w:p>
      <w:pPr>
        <w:ind w:right="380" w:firstLine="441"/>
        <w:spacing w:after="0" w:line="293" w:lineRule="auto"/>
        <w:rPr>
          <w:sz w:val="20"/>
          <w:szCs w:val="20"/>
          <w:color w:val="auto"/>
        </w:rPr>
      </w:pPr>
      <w:r>
        <w:rPr>
          <w:rFonts w:ascii="Arial" w:cs="Arial" w:eastAsia="Arial" w:hAnsi="Arial"/>
          <w:sz w:val="16"/>
          <w:szCs w:val="16"/>
          <w:color w:val="auto"/>
        </w:rPr>
        <w:t>Limitations on the ability to acquire and hold our common shares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shares and/or affect the market price of our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for US tax purposes which may negatively affect US investors.</w:t>
      </w:r>
    </w:p>
    <w:p>
      <w:pPr>
        <w:spacing w:after="0" w:line="19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For US federal income taxation purposes, we will be a passive foreign investment company, or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subsequent years in which they are held by that person. Because in the past our gross income consisted mostly of interest, we have been a PFIC in prior taxable years. We may also be a PFIC in future taxable years. Gain realized by a US investor from the sale of PFIC shares is taxed as ordinary income, as opposed to capital gain, and subject to an interest charge unless the US person has timely made one of the tax elections described in the section titled “Material United States and Canadian Tax Considerations—US Material Federal Income Tax Consequences.”</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30"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material differences between the BCBCA as compared to the Delaware General Corporation Law, or the DGCL, which may be of most interest to shareholders include the following: (i) for material corporate transactions (such as mergers and amalgamations, other extraordinary corporate transactions, amendments to our Articles) the BCBCA generally requires two-thirds majority vote by shareholders, whereas DGCL generally only requires a majority vote of shareholders for similar material corporate transactions; (ii) 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 (iii) under the BCBCA a holder of 5% or more of our common shares can requisition a special meeting at which any matters that can be voted on at our annual meeting can be considered, whereas the DGCL does not give this right; (iv) 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 (v) 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41" w:name="page42"/>
    <w:bookmarkEnd w:id="41"/>
    <w:p>
      <w:pPr>
        <w:ind w:right="36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common shares could adversely affect the price of the shares and dilute shareholders.</w:t>
      </w:r>
    </w:p>
    <w:p>
      <w:pPr>
        <w:spacing w:after="0" w:line="143"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As at December 31, 2015, we had 32,279,106 common shares outstanding. This includes the common shares sold in the April 2015 offering,</w:t>
      </w:r>
    </w:p>
    <w:p>
      <w:pPr>
        <w:spacing w:after="0" w:line="83"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141"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or the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0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w:t>
      </w:r>
    </w:p>
    <w:p>
      <w:pPr>
        <w:spacing w:after="0" w:line="142"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 See section in our Prospectus titled, “Prospectus Summary—Implications of Being an Emerging Growth Company.”</w:t>
      </w:r>
    </w:p>
    <w:p>
      <w:pPr>
        <w:spacing w:after="0" w:line="13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42" w:name="page43"/>
    <w:bookmarkEnd w:id="42"/>
    <w:p>
      <w:pPr>
        <w:ind w:right="4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54" w:lineRule="exact"/>
        <w:rPr>
          <w:sz w:val="20"/>
          <w:szCs w:val="20"/>
          <w:color w:val="auto"/>
        </w:rPr>
      </w:pPr>
    </w:p>
    <w:p>
      <w:pPr>
        <w:ind w:right="26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37"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w:t>
      </w:r>
    </w:p>
    <w:p>
      <w:pPr>
        <w:spacing w:after="0" w:line="3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Our operations are based primarily in Austin, Texas. On January 12, 2008, the Company entered a lease agreement to lease its facility in Austin, Texas, USA. On September 15, 2010, the Company entered into a second lease agreement to lease additional space in Austin, TX, USA. On March 20, 2013, the Company extended the lease for another 21 months with the same terms and rental rates as the current lease. We have grown our workforce significantly over the past year and expect to continue to add a significant number of additional employees during 2016. To accommodate larger-scale commercial manufacturing needs, we purchased 48 acres of industrial-zoned property located five miles from Austin’s central business district. In September 2014, we commenced ground-breaking on a new manufacturing facility on this property. All construction activities are on schedule per the current project plan with anticipated building completion in March of 2016 and validation of product in July 2016.</w:t>
      </w:r>
    </w:p>
    <w:p>
      <w:pPr>
        <w:spacing w:after="0" w:line="34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On December 1, 2015, a purported securities class action complaint captioned </w:t>
      </w:r>
      <w:r>
        <w:rPr>
          <w:rFonts w:ascii="Arial" w:cs="Arial" w:eastAsia="Arial" w:hAnsi="Arial"/>
          <w:sz w:val="17"/>
          <w:szCs w:val="17"/>
          <w:i w:val="1"/>
          <w:iCs w:val="1"/>
          <w:color w:val="auto"/>
        </w:rPr>
        <w:t>Yogina Rezko v. XBiotech Inc., John Simard, Queena Han and WR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Hambrecht &amp; Co., LLC </w:t>
      </w:r>
      <w:r>
        <w:rPr>
          <w:rFonts w:ascii="Arial" w:cs="Arial" w:eastAsia="Arial" w:hAnsi="Arial"/>
          <w:sz w:val="17"/>
          <w:szCs w:val="17"/>
          <w:color w:val="auto"/>
        </w:rPr>
        <w:t>was filed against us, certain of our officers and directors and the underwriter for our initial public offering in the Superior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State of California, Los Angeles County. On December 2, 2015, a purported securities class action complaint captioned </w:t>
      </w:r>
      <w:r>
        <w:rPr>
          <w:rFonts w:ascii="Arial" w:cs="Arial" w:eastAsia="Arial" w:hAnsi="Arial"/>
          <w:sz w:val="17"/>
          <w:szCs w:val="17"/>
          <w:i w:val="1"/>
          <w:iCs w:val="1"/>
          <w:color w:val="auto"/>
        </w:rPr>
        <w:t>Linh Tran v. XBiotech Inc., John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Simard and Queena Han </w:t>
      </w:r>
      <w:r>
        <w:rPr>
          <w:rFonts w:ascii="Arial" w:cs="Arial" w:eastAsia="Arial" w:hAnsi="Arial"/>
          <w:sz w:val="17"/>
          <w:szCs w:val="17"/>
          <w:color w:val="auto"/>
        </w:rPr>
        <w:t>was filed against us and certain of our officers and directors in U.S. District Court for the Western District of Texas. The lawsuits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Both the federal case and the California case are in the early procedural stages. On February 24th, 2016, following a proceeding to select a lead plaintiff in the federal case, the court issued an order appointing Mr. Kresimir Corak as lead plaintiff. We expect that the plaintiff will file an amended complaint in the federal case in April 2016. In the California case, we expect to make certain procedural motions in May 2016. No trial or other dates have been set.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43" w:name="page44"/>
    <w:bookmarkEnd w:id="43"/>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common stock began trading on The NASDAQ Global Select Market on April 15, 2015 under the symbol “XBIT.” Prior to that time, there was no established public trading market for our common stock. The following table sets forth the high and low sale prices per share for our common stock on The NASDAQ Global Select Market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Year Ended December 31, 2015:</w:t>
            </w:r>
          </w:p>
        </w:tc>
        <w:tc>
          <w:tcPr>
            <w:tcW w:w="26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 commencing April 15, 2015)</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29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7" w:lineRule="exact"/>
        <w:rPr>
          <w:sz w:val="20"/>
          <w:szCs w:val="20"/>
          <w:color w:val="auto"/>
        </w:rPr>
      </w:pPr>
    </w:p>
    <w:p>
      <w:pPr>
        <w:ind w:right="800" w:firstLine="648"/>
        <w:spacing w:after="0" w:line="323" w:lineRule="auto"/>
        <w:rPr>
          <w:sz w:val="20"/>
          <w:szCs w:val="20"/>
          <w:color w:val="auto"/>
        </w:rPr>
      </w:pPr>
      <w:r>
        <w:rPr>
          <w:rFonts w:ascii="Arial" w:cs="Arial" w:eastAsia="Arial" w:hAnsi="Arial"/>
          <w:sz w:val="16"/>
          <w:szCs w:val="16"/>
          <w:color w:val="auto"/>
        </w:rPr>
        <w:t>At February 22, 2016, there were 1,721 holders of record of our common stock. Because many of our shares are held by brokers and other institutions on behalf of stockholders, we are unable to estimate the total number of beneficial holders represented by these record 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any earnings for future growth and, therefore, do not expect to pay cash dividends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w:t>
      </w:r>
    </w:p>
    <w:p>
      <w:pPr>
        <w:spacing w:after="0" w:line="2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On April 14, 2015, our registration statement on Form S-1 (File No. 333-201813) was declared effective by the Securities and Exchange Commission for our initial public offering pursuant to which we sold an aggregate of 4,000,000 shares of our common stock to investors at a price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Securities and Exchange Commission on April 16, 2015 pursuant to Rule 424(b). We are holding the balance of the net proceeds from the IPO in a bank account at CIBC USD account.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4" w:name="page45"/>
    <w:bookmarkEnd w:id="44"/>
    <w:p>
      <w:pPr>
        <w:spacing w:after="0"/>
        <w:tabs>
          <w:tab w:leader="none" w:pos="14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selected consolidated financial data for each of the four years in the period ended December 31, 2015 are derived from our audited consolidated financial statements. The selected consolidated financial data set forth below should be read in conjunction with “Management’s Discussion and Analysis of Financial Condition and Results of Operations” and the financial statements, and the related Notes, included elsewhere in this annual report on Form 10-K. Historical results are not necessarily indicative of future results. Set forth below are our selected consolidated financial data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6"/>
              </w:rPr>
              <w:t>Year Ended December 31,</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37"/>
        </w:trPr>
        <w:tc>
          <w:tcPr>
            <w:tcW w:w="5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3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31,310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14,329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13,334</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6,200</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7,449</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1,990</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1,829</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37,510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21,778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15,163</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(37,510)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(21,778)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(15,163)</w:t>
            </w: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(37,483)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(21,724)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(9,927)</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(15,160)</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share—basic and diluted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Weighted average number of common shares—basic and diluted</w:t>
            </w:r>
          </w:p>
        </w:tc>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30,801,994</w:t>
            </w:r>
          </w:p>
        </w:tc>
        <w:tc>
          <w:tcPr>
            <w:tcW w:w="3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24,162,700</w:t>
            </w:r>
          </w:p>
        </w:tc>
        <w:tc>
          <w:tcPr>
            <w:tcW w:w="3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22,220,416</w:t>
            </w:r>
          </w:p>
        </w:tc>
        <w:tc>
          <w:tcPr>
            <w:tcW w:w="3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21,294,369</w:t>
            </w:r>
          </w:p>
        </w:tc>
      </w:tr>
      <w:tr>
        <w:trPr>
          <w:trHeight w:val="782"/>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As of December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91,051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57,329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7,244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4,167</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86,749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54,917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6,848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3,297</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109,358</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62,177</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11,073</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8,469</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103,050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59,030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10,228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7,372</w:t>
            </w:r>
          </w:p>
        </w:tc>
      </w:tr>
      <w:tr>
        <w:trPr>
          <w:trHeight w:val="655"/>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4"/>
        </w:trPr>
        <w:tc>
          <w:tcPr>
            <w:tcW w:w="562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r>
    </w:tbl>
    <w:p>
      <w:pPr>
        <w:sectPr>
          <w:pgSz w:w="11900" w:h="16838" w:orient="portrait"/>
          <w:cols w:equalWidth="0" w:num="1">
            <w:col w:w="11420"/>
          </w:cols>
          <w:pgMar w:left="240" w:top="472" w:right="239" w:bottom="1440" w:gutter="0" w:footer="0" w:header="0"/>
        </w:sectPr>
      </w:pPr>
    </w:p>
    <w:bookmarkStart w:id="45" w:name="page46"/>
    <w:bookmarkEnd w:id="45"/>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XBiotech Inc.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Xilonix™, to market, we have also developed a proprietary True Human™ monoclonal antibody discovery platform and manufacturing system.</w:t>
      </w:r>
    </w:p>
    <w:p>
      <w:pPr>
        <w:spacing w:after="0" w:line="173"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have never been profitable and, as of December 31, 2015, we had an accumulated deficit of $130.7 million. We had a net loss of $37.5 million for the year ended December 31, 2015, compared to $21.7 million for the year ended December 31, 2014, and $9.9 million for the year ended December 31, 2013.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operate as a public company. We will need to generate significant revenues to achieve profitability, and we may never do so. On April 17, 2015, the Company closed its initial public offering of 4,000,000 shares of its common stock at a price of $19.00 per share for a total offering amount of $76,000,000, before underwriting discounts, commissions and other Company expenses. Net proceeds to the Company totaled approximately $70.6 million after deducting underwriting discounts and commissions of $3.8 million and other offering expenses of approximately $1.6 million. As of December 31, 2015, we had 78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and construction of the new manufacturing facility Highlights</w:t>
      </w:r>
    </w:p>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March 2016, XBiotech has achieved some significant milestones with its Xilonix™ and 514G3 programs. Enrollment on a Phase III Symptomatic Colorectal Cancer Study has been completed and 333 subjects were enrolled. Because the study endpoints were satisfactorily met, XBiotech decided to proceed with the submission of a Marketing Authorization Application to the European Medicines Agency, and possibly other foreign regulatory authorities. Additionally, the final patient for Phase I on a Staphylococcus Aureus Bacteremia Phase I and II Study with a brand new antibody therapy, 514G3, has been enrolled. Phase II will commence once it has been found the final enrolled patient is free of dose-related toxicities.</w:t>
      </w:r>
    </w:p>
    <w:p>
      <w:pPr>
        <w:spacing w:after="0" w:line="11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There was significant progress in 2015 with regard to construction of the new manufacturing facility located in Austin, Texas. During the year the building walls, structural steel, and roofing were installed. Build out of the interior was started in administrative and lab spaces, and the building was prepared for installation of clean rooms. Final engineering designs were completed for the manufacturing spaces with clean room construction commencing in Q4 2015. All activities are on schedule per the current project plan with anticipated building completion in May 2016 and validation of product in July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2015, we have recorded total research and development expenses, including share-based compensation, of $101.1 million. Our total research and development expenses for the year ended December 31, 2015 was $31.3 million, compared to $14.3 million the year ended December 31, 2014, and $7.9 million for the year ended December 31, 2013. Share-based compensation accounted for $2.2 million for the year ended December 31, 2015, compared to $1.3 million for the year ended December 31, 2014 and $0.6 million for the year ended December 31, 2013.</w:t>
      </w:r>
    </w:p>
    <w:p>
      <w:pPr>
        <w:spacing w:after="0" w:line="17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Research and development expenses, as a percentage of total operating expenses for the year ended December 31, 2015 was 83%, compared to 66% for the year ended December 31, 2014, and 80% for the year ended December 31, 2013. The percentages,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stock-based compensation, for the year ended December 31, 2015 was 88%, compared to 88% for the year ended December 31, 2014 and 80% for the year ended December 31, 2013.</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As planned, our clinical costs has increased as we advance Xilonix™ as an anti-cancer therapy for treating last-line metastatic colorectal cancer, under a regulatory pathway through Phase III clinical trials in Europe and the US and when we expand the studies to South America, Israel, Australia and Canada, all territories expected to be active during Q2 2016. Our clinical study underway in Europe, that is regulated by the European Medicines Agency (EMA), completed enrollment in November, 2015. The submission for marketing approval to the EMA was completed in March 2016 which could position the Company to generate related revenues in 2017 if it receives EMA marketing approval and the Company successfully completes its commercialization plan for Xilonix™. The clinical research and development costs will also increase as we have launched a Phase I and II clinical study of novel True Human™ therapeutic antibody for treating serious infections due to </w:t>
      </w:r>
      <w:r>
        <w:rPr>
          <w:rFonts w:ascii="Arial" w:cs="Arial" w:eastAsia="Arial" w:hAnsi="Arial"/>
          <w:sz w:val="17"/>
          <w:szCs w:val="17"/>
          <w:i w:val="1"/>
          <w:iCs w:val="1"/>
          <w:color w:val="auto"/>
        </w:rPr>
        <w:t>Staphylococcus aureus</w:t>
      </w:r>
      <w:r>
        <w:rPr>
          <w:rFonts w:ascii="Arial" w:cs="Arial" w:eastAsia="Arial" w:hAnsi="Arial"/>
          <w:sz w:val="17"/>
          <w:szCs w:val="17"/>
          <w:color w:val="auto"/>
        </w:rPr>
        <w:t xml:space="preserve"> in the U.S. We expect to complete expansion of this study into Europe, South Korea and Taiwan for participation in the Phase II portion by the end of Q2 2016. The Company’s plans to pursue an advanced regulatory path for Pyoderma Gangrenosum is on hold indefinitely while we await the outcome of other programs in later stages of development. In the meantime, based on the results of our preclinical studies, we anticipate that we will select drug candidates and research projects for further development on an ongoing basis in response to their preclinical and clinical success and commercial potential. For R&amp;D candidates in early stages of development, it is premature to estimate when material net cash inflows from these projects might occur.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for the year ended December 31, 2015 was $6.2 million, compared to $7.4 million for the year ended December 31, 2014 and $2.0 million for the year ended December 31, 2013. Share-based compensation accounted for $2.2 million for the year ended December 31, 2015, compared to $5.7 million for the year ended December 31, 2014 and $0.2 million for the year ended December 31,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7" w:name="page48"/>
    <w:bookmarkEnd w:id="47"/>
    <w:p>
      <w:pPr>
        <w:ind w:right="160" w:firstLine="648"/>
        <w:spacing w:after="0" w:line="308"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issued common stock for cash consideration to new investors. We believe that such transactions represent the best evidence of fair value of our common stock. Therefore, we used the sales price of our common stock during these periods as the fair value of our common stock.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December 31,</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7"/>
        </w:trPr>
        <w:tc>
          <w:tcPr>
            <w:tcW w:w="64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2015</w:t>
            </w:r>
          </w:p>
        </w:tc>
        <w:tc>
          <w:tcPr>
            <w:tcW w:w="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6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Borders>
              <w:bottom w:val="single" w:sz="8" w:color="auto"/>
            </w:tcBorders>
          </w:tcPr>
          <w:p>
            <w:pPr>
              <w:spacing w:after="0"/>
              <w:rPr>
                <w:sz w:val="22"/>
                <w:szCs w:val="2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$17.95</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$11.37</w:t>
            </w:r>
          </w:p>
        </w:tc>
        <w:tc>
          <w:tcPr>
            <w:tcW w:w="5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71%</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5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3.84%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10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years ended December 31, 2015,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Increase</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 Increase</w:t>
            </w:r>
          </w:p>
        </w:tc>
        <w:tc>
          <w:tcPr>
            <w:tcW w:w="240" w:type="dxa"/>
            <w:vAlign w:val="bottom"/>
          </w:tcPr>
          <w:p>
            <w:pPr>
              <w:spacing w:after="0"/>
              <w:rPr>
                <w:sz w:val="19"/>
                <w:szCs w:val="19"/>
                <w:color w:val="auto"/>
              </w:rPr>
            </w:pPr>
          </w:p>
        </w:tc>
        <w:tc>
          <w:tcPr>
            <w:tcW w:w="17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2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(Decrease)</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(Decrease)</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(Decrease)</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3"/>
              </w:rPr>
              <w:t>Laboratory and manufacturing supplies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4,325</w:t>
            </w: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2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1,763</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2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1,634</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6"/>
              </w:rPr>
              <w:t>Clinical trials and sponsored research</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2,204</w:t>
            </w: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2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901</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752</w:t>
            </w: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4"/>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14,329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16,981</w:t>
            </w: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14,329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6,394</w:t>
            </w: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Research and development expenses increased by 119% to $31.3 million for year ended December 31, 2015 compared to $14.3 million for the year ended December 31, 2014.</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research and development expenses for the year ended December 31, 2015 compared to the year ended December 31, 2014 was due to a $10.7 million increase of clinical trial activities and sponsored research expense, which results primarily from the clinical trial started in Europe and the US. The increase is also due to higher salaries and related expenses in 2015 due to the growing size of our workforce from 49 to 70, salary increases for current employees and a $330,000 bonus payment to an executive officer in the second quarter of 2015. Laboratory and manufacturing supplies also increased due to the increase of manufacturing processing development activities, research activities and quality control activities. Stock–based compensation increased due the issuance of stock options to new employees.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Research and development expenses increased by $6.4 million to $14.3 million for the year ended December 31, 2014, compared to $7.9 million for the year ended December 31, 2013. This increase was due to a $3.1 million increase in clinical trial activities in Europe and the United States, a $1.6 million increase in research and development use of chemicals, reagents as well as laboratory materials; a $0.8 million increase in salaries and up $0.7 million increase in stock-based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8"/>
          </w:tcPr>
          <w:p>
            <w:pPr>
              <w:jc w:val="right"/>
              <w:ind w:right="550"/>
              <w:spacing w:after="0"/>
              <w:rPr>
                <w:sz w:val="20"/>
                <w:szCs w:val="20"/>
                <w:color w:val="auto"/>
              </w:rPr>
            </w:pPr>
            <w:r>
              <w:rPr>
                <w:rFonts w:ascii="Arial" w:cs="Arial" w:eastAsia="Arial" w:hAnsi="Arial"/>
                <w:sz w:val="18"/>
                <w:szCs w:val="18"/>
                <w:color w:val="auto"/>
              </w:rPr>
              <w:t>General and administrative costs are summarized as follows (in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Increase</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Increase</w:t>
            </w:r>
          </w:p>
        </w:tc>
        <w:tc>
          <w:tcPr>
            <w:tcW w:w="260" w:type="dxa"/>
            <w:vAlign w:val="bottom"/>
          </w:tcPr>
          <w:p>
            <w:pPr>
              <w:spacing w:after="0"/>
              <w:rPr>
                <w:sz w:val="18"/>
                <w:szCs w:val="18"/>
                <w:color w:val="auto"/>
              </w:rPr>
            </w:pPr>
          </w:p>
        </w:tc>
        <w:tc>
          <w:tcPr>
            <w:tcW w:w="19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Increase</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2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(Decrease)</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86"/>
              </w:rPr>
              <w:t>Salaries and related expenses</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636</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Patent filing expense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322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Stock-based compensation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5,529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757</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7,449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(1,249)</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7,449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5,459</w:t>
            </w: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r>
    </w:tbl>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General and administrative expenses decreased by 17% to $6.2 million for the year ended December 31, 2015 compared to $7.4 million for the year ended December 31, 2014.</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decrease was primarily related to the stock–based compensation expenses of $5.7 million in 2014 resulting mainly from immediately-vested granted stock options granted to board members and employees in the second half of 2014. In addition, professional fees increased due to additional legal fees after the Company became a public entity. The salary and related costs increased primarily due to new employees in the general and administrative department Patent filing expenses also increased due to the increase of worldwide patent certification activities.</w:t>
      </w:r>
    </w:p>
    <w:p>
      <w:pPr>
        <w:spacing w:after="0" w:line="17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General and administrative expense increased by $5.5 million to $7.5 million for the year ended December 31, 2014, compared to $2.0 million for the year ended December 31, 2013. The increase was primarily related to increases in expenses related to stock – based compensation of $5.7 million.</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The following table summarizes other income (in thousands):</w:t>
      </w:r>
    </w:p>
    <w:p>
      <w:pPr>
        <w:spacing w:after="0" w:line="200" w:lineRule="exact"/>
        <w:rPr>
          <w:sz w:val="20"/>
          <w:szCs w:val="20"/>
          <w:color w:val="auto"/>
        </w:rPr>
      </w:pPr>
    </w:p>
    <w:p>
      <w:pPr>
        <w:spacing w:after="0" w:line="37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Foreign exchange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195"/>
        </w:trPr>
        <w:tc>
          <w:tcPr>
            <w:tcW w:w="20" w:type="dxa"/>
            <w:vAlign w:val="bottom"/>
          </w:tcPr>
          <w:p>
            <w:pPr>
              <w:spacing w:after="0"/>
              <w:rPr>
                <w:sz w:val="16"/>
                <w:szCs w:val="16"/>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w:t>
            </w:r>
          </w:p>
        </w:tc>
        <w:tc>
          <w:tcPr>
            <w:tcW w:w="4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380" w:space="720"/>
            <w:col w:w="4320"/>
          </w:cols>
          <w:pgMar w:left="240" w:top="692" w:right="239" w:bottom="1440" w:gutter="0" w:footer="0" w:header="0"/>
          <w:type w:val="continuous"/>
        </w:sectPr>
      </w:pPr>
    </w:p>
    <w:p>
      <w:pPr>
        <w:ind w:right="140" w:firstLine="648"/>
        <w:spacing w:after="0" w:line="312" w:lineRule="auto"/>
        <w:rPr>
          <w:sz w:val="20"/>
          <w:szCs w:val="20"/>
          <w:color w:val="auto"/>
        </w:rPr>
      </w:pPr>
      <w:r>
        <w:rPr>
          <w:rFonts w:ascii="Arial" w:cs="Arial" w:eastAsia="Arial" w:hAnsi="Arial"/>
          <w:sz w:val="16"/>
          <w:szCs w:val="16"/>
          <w:color w:val="auto"/>
        </w:rPr>
        <w:t>Other income consists primarily of a $21 thousand gain from the sale of fully-depreciated scientific equipment for the year ended December 31, 2015. Foreign exchange expense changed in the year ended December 31, 2015 compared to the year ended December 31, 2014. Also, the foreign exchange gain in the year ended December 31, 2014 due to the Euro and Canadian dollar exchange rate fluctuation, compared to the year ended December 31, 2013.</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Since our inception on March 22, 2005 through December 31, 2015, we have funded our operations principally through the private placement of equity securities and our initial public offering, which have provided aggregate cash proceeds of approximately $221.0 million. At December 31, 2015, we had cash and cash equivalents of $91.1 million as compared to cash and cash equivalents of $57.3 million at December 31, 2014. The following table summarizes our sources and uses of cash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vMerge w:val="restart"/>
          </w:tcPr>
          <w:p>
            <w:pPr>
              <w:jc w:val="center"/>
              <w:ind w:left="510"/>
              <w:spacing w:after="0"/>
              <w:rPr>
                <w:sz w:val="20"/>
                <w:szCs w:val="20"/>
                <w:color w:val="auto"/>
              </w:rPr>
            </w:pPr>
            <w:r>
              <w:rPr>
                <w:rFonts w:ascii="Arial" w:cs="Arial" w:eastAsia="Arial" w:hAnsi="Arial"/>
                <w:sz w:val="18"/>
                <w:szCs w:val="18"/>
                <w:color w:val="auto"/>
                <w:w w:val="90"/>
              </w:rPr>
              <w:t>Net cash (used in) provided by:</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2"/>
              </w:rPr>
              <w:t>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6380" w:type="dxa"/>
            <w:vAlign w:val="bottom"/>
          </w:tcPr>
          <w:p>
            <w:pPr>
              <w:jc w:val="center"/>
              <w:ind w:left="530"/>
              <w:spacing w:after="0"/>
              <w:rPr>
                <w:sz w:val="20"/>
                <w:szCs w:val="20"/>
                <w:color w:val="auto"/>
              </w:rPr>
            </w:pPr>
            <w:r>
              <w:rPr>
                <w:rFonts w:ascii="Arial" w:cs="Arial" w:eastAsia="Arial" w:hAnsi="Arial"/>
                <w:sz w:val="18"/>
                <w:szCs w:val="18"/>
                <w:color w:val="auto"/>
                <w:w w:val="93"/>
              </w:rPr>
              <w:t>Investing activities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(10,392)</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(1,397)</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3"/>
              </w:rPr>
              <w:t>Financing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77,470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63,200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jc w:val="center"/>
              <w:ind w:left="530"/>
              <w:spacing w:after="0"/>
              <w:rPr>
                <w:sz w:val="20"/>
                <w:szCs w:val="20"/>
                <w:color w:val="auto"/>
              </w:rPr>
            </w:pPr>
            <w:r>
              <w:rPr>
                <w:rFonts w:ascii="Arial" w:cs="Arial" w:eastAsia="Arial" w:hAnsi="Arial"/>
                <w:sz w:val="18"/>
                <w:szCs w:val="18"/>
                <w:color w:val="auto"/>
                <w:w w:val="89"/>
              </w:rPr>
              <w:t>Effect of foreign exchange rate on cash and cash equivalents</w:t>
            </w:r>
          </w:p>
        </w:tc>
        <w:tc>
          <w:tcPr>
            <w:tcW w:w="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Net change in cash and cash equivalents</w:t>
            </w:r>
          </w:p>
        </w:tc>
        <w:tc>
          <w:tcPr>
            <w:tcW w:w="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33,722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50,085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During the years ended December 31, 2015, 2014 and 2013, our operating activities used net cash of $33.3 million, $11.7 million and $8.9 million, respectively. The use of net cash in each of these periods primarily resulted from our net losses. The increase in net loss from operations for the year ended December 31, 2015 as compared to the year ended December 31, 2014 and 2013 was mainly due to the increase in clinical trial activities in Europe and the growing size of workforce.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years ended December 31, 2015, 2014 and 2013, our investing activities used net cash of $10.4 million, $1.4 million, and $0.01 million, respectively. We spent approximately $8.1 million on the construction of our new manufacturing facility and building during the year ended December 31, 2015, which was started in the beginning of 2015. We also spent $0.9 million more on purchases of scientific equipment during the year ended December 31, 2015, compared to $1.4 million during the year ended December 31, 2014.</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years ended December 31, 2015, 2014 and 2013, our financing activities provided net cash proceeds of $77.5 million, $63.2 million and $12 million, respectively. During the year ended December 31, 2015, we received IPO proceeds of $76.0 million and incurred offering costs of $5.4million, which consisted of underwriters’ commission direct incremental legal, accounting and other professional service fees related to our IPO. Also, during the year ended December 31, 2015, investors exercised warrants to purchase a total of 373,332 shares of our common stock at an exercise price of $15.00 per share for a total of approximately $5.6 million in net proceeds, and employees exercised stock option to purchase a total of 359,141 shares of our common stock for a total of approximately $1.3 million in net proceeds. In January 2015, we received previously outstanding subscription receivable in the amount of $0.4 million.</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April 14, 2015, our registration statement on Form S-1 (File No. 333-201813) was declared effective by the SEC for our initial public offering pursuant to which we sold an aggregate of 4,000,000 shares of our common stock at a price of $19.00 per share.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 There has been no material change in the planned use of proceeds from our initial public offering as described in our final prospectus filed with the Securities and Exchange Commission on April 16, 2015 pursuant to Rule 424(b).</w:t>
      </w:r>
    </w:p>
    <w:p>
      <w:pPr>
        <w:spacing w:after="0" w:line="16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or similar regulatory agencies in other countries and successfully commercialized. As of December 31, 2015, our principal sources of liquidity were our cash and cash equivalents, which totaled approximately $91.1 million.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approximately $688,000, $535,000 and $553,000 for the years ended December 31, 2015, 2014 and 2013, respectively. On February 28, 2015, we extended the lease for another 4 years. The future minimum lease payments are as follows as of December 31, 2015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234"/>
        </w:trPr>
        <w:tc>
          <w:tcPr>
            <w:tcW w:w="4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1 - 3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3 - 5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5 Years</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 OF MARKET RISKS</w:t>
      </w:r>
    </w:p>
    <w:p>
      <w:pPr>
        <w:spacing w:after="0" w:line="12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XBiotech Inc.</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XBiotech Inc. (the Company) as of December 31, 2015 and 2014, and the related consolidated statements of operations, comprehensive loss,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XBiotech Inc. at December 31, 2015 and 2014, and the consolidated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1,990</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offering costs</w:t>
            </w:r>
          </w:p>
        </w:tc>
        <w:tc>
          <w:tcPr>
            <w:tcW w:w="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93,041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5,946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Building construction in progress</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10,371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109,358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1,466</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Long-term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6,308</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w w:val="93"/>
              </w:rPr>
              <w:t>Common stock, no par value, unlimited shares authorized, 32,279,106 and 27,546,632 shares outstanding at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December 31, 2015 and December 31, 2014, respectively</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233,902</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103,050</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109,358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31,310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14,329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6,200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7,449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37,510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21,778</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(37,510)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(21,778)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(loss):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(loss)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1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(37,483)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4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(1.22)</w:t>
            </w:r>
          </w:p>
        </w:tc>
        <w:tc>
          <w:tcPr>
            <w:tcW w:w="3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(0.90)</w:t>
            </w:r>
          </w:p>
        </w:tc>
        <w:tc>
          <w:tcPr>
            <w:tcW w:w="3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30,801,994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24,162,700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22,220,416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5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(37,483)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(21,724)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(9,927)</w:t>
            </w:r>
          </w:p>
        </w:tc>
      </w:tr>
      <w:tr>
        <w:trPr>
          <w:trHeight w:val="23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(37,531)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(21,742)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(9,928)</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Other</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Comprehensive</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4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Shares</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Amount</w:t>
            </w:r>
          </w:p>
        </w:tc>
        <w:tc>
          <w:tcPr>
            <w:tcW w:w="7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Income (Loss)</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Deficit</w:t>
            </w:r>
          </w:p>
        </w:tc>
        <w:tc>
          <w:tcPr>
            <w:tcW w:w="8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21"/>
                <w:szCs w:val="2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21,548</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68,284</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(9,927)</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1,205</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12,045</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12,045</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1,478</w:t>
            </w:r>
          </w:p>
        </w:tc>
        <w:tc>
          <w:tcPr>
            <w:tcW w:w="7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22,752</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81,807</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(71,444)</w:t>
            </w:r>
          </w:p>
        </w:tc>
        <w:tc>
          <w:tcPr>
            <w:tcW w:w="6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10,228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4,780</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63,784</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63,784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7,020</w:t>
            </w: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7,020</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27,547</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152,351</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(93,168)</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59,030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(37,483)</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(37,483)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net of issuance cost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4,373</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75,386</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75,386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1,348</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7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4,407</w:t>
            </w:r>
          </w:p>
        </w:tc>
        <w:tc>
          <w:tcPr>
            <w:tcW w:w="7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32,279</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233,902</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(130,651)</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103,050</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(21,724)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699</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4,407</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7,020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Prepaid expenses and other current</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1,068</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1,234</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(33,308)</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(11,700)</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Expenditures on building construction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75,712</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63,784</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Collection of subscription receivable</w:t>
            </w: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77,470</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63,200</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33,722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50,085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57,329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7,244</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91,051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57,329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3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34"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headquarters are located in Austin, Texas.</w:t>
      </w:r>
    </w:p>
    <w:p>
      <w:pPr>
        <w:spacing w:after="0" w:line="19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$91.0 million at December 31, 2015, will enable the Company to maintain its current and planned operations for the foreseeable future.</w:t>
      </w:r>
    </w:p>
    <w:p>
      <w:pPr>
        <w:spacing w:after="0" w:line="189" w:lineRule="exact"/>
        <w:rPr>
          <w:sz w:val="20"/>
          <w:szCs w:val="20"/>
          <w:color w:val="auto"/>
        </w:rPr>
      </w:pPr>
    </w:p>
    <w:p>
      <w:pPr>
        <w:ind w:right="8860" w:firstLine="8"/>
        <w:spacing w:after="0" w:line="441" w:lineRule="auto"/>
        <w:tabs>
          <w:tab w:leader="none" w:pos="1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6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life of the option and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1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Share-based compensation expense recognized for the years ended December 31, 2015, 2014 and 2013 was included in the following line items on the Consolidated Statements of Operations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Year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31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20" w:type="dxa"/>
            <w:vAlign w:val="bottom"/>
            <w:vMerge w:val="restart"/>
          </w:tcPr>
          <w:p>
            <w:pPr>
              <w:jc w:val="right"/>
              <w:ind w:right="1210"/>
              <w:spacing w:after="0"/>
              <w:rPr>
                <w:sz w:val="20"/>
                <w:szCs w:val="20"/>
                <w:color w:val="auto"/>
              </w:rPr>
            </w:pPr>
            <w:r>
              <w:rPr>
                <w:rFonts w:ascii="Arial" w:cs="Arial" w:eastAsia="Arial" w:hAnsi="Arial"/>
                <w:sz w:val="18"/>
                <w:szCs w:val="18"/>
                <w:color w:val="auto"/>
              </w:rPr>
              <w:t>59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No related tax benefits were recognized for the years ended December 31, 2015, 2014 and 2013.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December 31,</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7"/>
        </w:trPr>
        <w:tc>
          <w:tcPr>
            <w:tcW w:w="64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2015</w:t>
            </w:r>
          </w:p>
        </w:tc>
        <w:tc>
          <w:tcPr>
            <w:tcW w:w="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6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Borders>
              <w:bottom w:val="single" w:sz="8" w:color="auto"/>
            </w:tcBorders>
          </w:tcPr>
          <w:p>
            <w:pPr>
              <w:spacing w:after="0"/>
              <w:rPr>
                <w:sz w:val="22"/>
                <w:szCs w:val="2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$17.95</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$11.37</w:t>
            </w:r>
          </w:p>
        </w:tc>
        <w:tc>
          <w:tcPr>
            <w:tcW w:w="5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71%</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5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3.84%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10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140" w:firstLine="551"/>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141" w:lineRule="exact"/>
        <w:rPr>
          <w:sz w:val="20"/>
          <w:szCs w:val="20"/>
          <w:color w:val="auto"/>
        </w:rPr>
      </w:pPr>
    </w:p>
    <w:p>
      <w:pPr>
        <w:ind w:left="880" w:hanging="33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rFonts w:ascii="Arial" w:cs="Arial" w:eastAsia="Arial" w:hAnsi="Arial"/>
          <w:sz w:val="18"/>
          <w:szCs w:val="18"/>
          <w:color w:val="auto"/>
        </w:rPr>
      </w:pPr>
    </w:p>
    <w:p>
      <w:pPr>
        <w:ind w:left="880" w:right="600" w:hanging="332"/>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62"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43" w:lineRule="exact"/>
        <w:rPr>
          <w:sz w:val="20"/>
          <w:szCs w:val="20"/>
          <w:color w:val="auto"/>
        </w:rPr>
      </w:pPr>
    </w:p>
    <w:p>
      <w:pPr>
        <w:jc w:val="both"/>
        <w:ind w:right="460" w:firstLine="551"/>
        <w:spacing w:after="0" w:line="286" w:lineRule="auto"/>
        <w:rPr>
          <w:sz w:val="20"/>
          <w:szCs w:val="20"/>
          <w:color w:val="auto"/>
        </w:rPr>
      </w:pPr>
      <w:r>
        <w:rPr>
          <w:rFonts w:ascii="Arial" w:cs="Arial" w:eastAsia="Arial" w:hAnsi="Arial"/>
          <w:sz w:val="17"/>
          <w:szCs w:val="17"/>
          <w:color w:val="auto"/>
        </w:rPr>
        <w:t>At December 31, 2015 and 2014, the Company did not have any assets or liabilities that were remeasured at fair value on a recurring basis. The carrying amounts reflected in the balance sheets for cash and cash equivalents, prepaid expenses and other current assets, accounts payable, and accrued expenses approximate their fair values at December 31, 2015and 2014, due to their short-term nature.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Property and Equipment</w:t>
      </w:r>
    </w:p>
    <w:p>
      <w:pPr>
        <w:spacing w:after="0" w:line="3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Property and equipment, which consists of land, furniture and fixtures, computers and office equipment, scientific equipment, leasehold improvements and vehicles are stated at cost and depreciated over the estimated useful lives of the assets, with the exception of land which is not depreciated, using the straight line method. The useful lives are as follows: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20"/>
              <w:spacing w:after="0"/>
              <w:rPr>
                <w:sz w:val="20"/>
                <w:szCs w:val="20"/>
                <w:color w:val="auto"/>
              </w:rPr>
            </w:pPr>
            <w:r>
              <w:rPr>
                <w:rFonts w:ascii="Arial" w:cs="Arial" w:eastAsia="Arial" w:hAnsi="Arial"/>
                <w:sz w:val="18"/>
                <w:szCs w:val="18"/>
                <w:color w:val="auto"/>
              </w:rPr>
              <w:t>Furniture and fixtures</w:t>
            </w:r>
          </w:p>
        </w:tc>
        <w:tc>
          <w:tcPr>
            <w:tcW w:w="4800" w:type="dxa"/>
            <w:vAlign w:val="bottom"/>
          </w:tcPr>
          <w:p>
            <w:pPr>
              <w:ind w:left="1040"/>
              <w:spacing w:after="0"/>
              <w:rPr>
                <w:sz w:val="20"/>
                <w:szCs w:val="20"/>
                <w:color w:val="auto"/>
              </w:rPr>
            </w:pPr>
            <w:r>
              <w:rPr>
                <w:rFonts w:ascii="Arial" w:cs="Arial" w:eastAsia="Arial" w:hAnsi="Arial"/>
                <w:sz w:val="18"/>
                <w:szCs w:val="18"/>
                <w:color w:val="auto"/>
              </w:rPr>
              <w:t>7 years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20"/>
              <w:spacing w:after="0"/>
              <w:rPr>
                <w:sz w:val="20"/>
                <w:szCs w:val="20"/>
                <w:color w:val="auto"/>
              </w:rPr>
            </w:pPr>
            <w:r>
              <w:rPr>
                <w:rFonts w:ascii="Arial" w:cs="Arial" w:eastAsia="Arial" w:hAnsi="Arial"/>
                <w:sz w:val="18"/>
                <w:szCs w:val="18"/>
                <w:color w:val="auto"/>
              </w:rPr>
              <w:t>Office equipment</w:t>
            </w:r>
          </w:p>
        </w:tc>
        <w:tc>
          <w:tcPr>
            <w:tcW w:w="4800" w:type="dxa"/>
            <w:vAlign w:val="bottom"/>
          </w:tcPr>
          <w:p>
            <w:pPr>
              <w:ind w:left="1040"/>
              <w:spacing w:after="0"/>
              <w:rPr>
                <w:sz w:val="20"/>
                <w:szCs w:val="20"/>
                <w:color w:val="auto"/>
              </w:rPr>
            </w:pPr>
            <w:r>
              <w:rPr>
                <w:rFonts w:ascii="Arial" w:cs="Arial" w:eastAsia="Arial" w:hAnsi="Arial"/>
                <w:sz w:val="18"/>
                <w:szCs w:val="18"/>
                <w:color w:val="auto"/>
              </w:rPr>
              <w:t>5 years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4800" w:type="dxa"/>
            <w:vAlign w:val="bottom"/>
          </w:tcPr>
          <w:p>
            <w:pPr>
              <w:ind w:left="104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20"/>
              <w:spacing w:after="0"/>
              <w:rPr>
                <w:sz w:val="20"/>
                <w:szCs w:val="20"/>
                <w:color w:val="auto"/>
              </w:rPr>
            </w:pPr>
            <w:r>
              <w:rPr>
                <w:rFonts w:ascii="Arial" w:cs="Arial" w:eastAsia="Arial" w:hAnsi="Arial"/>
                <w:sz w:val="18"/>
                <w:szCs w:val="18"/>
                <w:color w:val="auto"/>
              </w:rPr>
              <w:t>Scientific equipment</w:t>
            </w:r>
          </w:p>
        </w:tc>
        <w:tc>
          <w:tcPr>
            <w:tcW w:w="4800" w:type="dxa"/>
            <w:vAlign w:val="bottom"/>
          </w:tcPr>
          <w:p>
            <w:pPr>
              <w:ind w:left="1040"/>
              <w:spacing w:after="0"/>
              <w:rPr>
                <w:sz w:val="20"/>
                <w:szCs w:val="20"/>
                <w:color w:val="auto"/>
              </w:rPr>
            </w:pPr>
            <w:r>
              <w:rPr>
                <w:rFonts w:ascii="Arial" w:cs="Arial" w:eastAsia="Arial" w:hAnsi="Arial"/>
                <w:sz w:val="18"/>
                <w:szCs w:val="18"/>
                <w:color w:val="auto"/>
              </w:rPr>
              <w:t>5 years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20"/>
              <w:spacing w:after="0"/>
              <w:rPr>
                <w:sz w:val="20"/>
                <w:szCs w:val="20"/>
                <w:color w:val="auto"/>
              </w:rPr>
            </w:pPr>
            <w:r>
              <w:rPr>
                <w:rFonts w:ascii="Arial" w:cs="Arial" w:eastAsia="Arial" w:hAnsi="Arial"/>
                <w:sz w:val="18"/>
                <w:szCs w:val="18"/>
                <w:color w:val="auto"/>
              </w:rPr>
              <w:t>Vehicles</w:t>
            </w:r>
          </w:p>
        </w:tc>
        <w:tc>
          <w:tcPr>
            <w:tcW w:w="4800" w:type="dxa"/>
            <w:vAlign w:val="bottom"/>
          </w:tcPr>
          <w:p>
            <w:pPr>
              <w:ind w:left="1040"/>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Construction in Progress</w:t>
      </w:r>
    </w:p>
    <w:p>
      <w:pPr>
        <w:spacing w:after="0" w:line="189"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Building construction in progress consists of the accumulated expenditures to build the new XBiotech manufacturing facility located in Austin, Texas, which includes the cost for land clearing, architecture design, engineering services, city permits, installation of utilities, construction materials and labor and construction management. Once the building is completed and placed into service, the Company will commence depreciation over its estimated useful life.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02"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Deferred offering costs, which consist of direct incremental legal, accounting and other professional service fees relating to the Company’s initial public offering (IPO) were capitalized. The deferred offering costs were offset against the proceeds from the IPO in April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8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2014-10, </w:t>
      </w:r>
      <w:r>
        <w:rPr>
          <w:rFonts w:ascii="Arial" w:cs="Arial" w:eastAsia="Arial" w:hAnsi="Arial"/>
          <w:sz w:val="16"/>
          <w:szCs w:val="16"/>
          <w:i w:val="1"/>
          <w:iCs w:val="1"/>
          <w:color w:val="auto"/>
        </w:rPr>
        <w:t>Elimination of Certain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Requirements, including an Amendment to Variable Interest Entities Guidance in Topic 810 Consolidation</w:t>
      </w:r>
      <w:r>
        <w:rPr>
          <w:rFonts w:ascii="Arial" w:cs="Arial" w:eastAsia="Arial" w:hAnsi="Arial"/>
          <w:sz w:val="16"/>
          <w:szCs w:val="16"/>
          <w:color w:val="auto"/>
        </w:rPr>
        <w:t>. These updates remove the definition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development stage entity from the Master Glossary of the ASC, thereby removing the financial reporting distinction between development stage entities and other reporting entities from U.S. GAAP. In addition, the amendments eliminate the requirements for development stage entities to (1) present inception-to-date information in the statements of income, cash flows, and shareholder equity, (2) label the financial statements as those of a development stage entity,</w:t>
      </w:r>
    </w:p>
    <w:p>
      <w:pPr>
        <w:spacing w:after="0" w:line="2" w:lineRule="exact"/>
        <w:rPr>
          <w:sz w:val="20"/>
          <w:szCs w:val="20"/>
          <w:color w:val="auto"/>
        </w:rPr>
      </w:pPr>
    </w:p>
    <w:p>
      <w:pPr>
        <w:ind w:right="6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 a description of the development stage activities in which the entity is engaged, and (4) disclose in the first year in which the entity is no longer a development stage entity that in prior years it had been in the development stage. This standard is effective for annual reporting periods beginning after December 15, 2014. The Company has early adopted this standard in the presentation of its financial statements.</w:t>
      </w:r>
    </w:p>
    <w:p>
      <w:pPr>
        <w:spacing w:after="0" w:line="15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w:t>
      </w:r>
    </w:p>
    <w:p>
      <w:pPr>
        <w:spacing w:after="0" w:line="14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February 2016 the FASB issued final guidance that will change the accounting for leases. The FASB issued final guidance that requires lessees to put most leases on their balance sheets but recognize expenses on their income statements in a manner similar to today’s accounting. The guidance also eliminates today’s real estate-specific provisions for all entities. For lessors, the guidance modifies the classification criteria and the accounting for sales-type and direct financing leases. All entities classify leases to determine how to recognize lease-related revenue and expense. Classification continues to affect what lessors record on the balance sheet. For calendar-year public business entities and certain calendar-year not-for-profit entities and employee benefit plans, the guidance is effective in 2019, and interim periods within that year. For other calendar-year entities, it is effective in 2020, and interim periods in 2021. Early adoption is permitted for all entities.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 2015 and 2014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770</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5,595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Vehicle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Building Construction in process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10,371</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16,317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4,113</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Depreciation expenses related to property and equipment amounted to approximately $699,000, $644,000, and $784,000 and for the years ended December 31, 2015, 2014 and 2013, respectively. Construction in process is related to R&amp;D and manufactory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660"/>
              <w:spacing w:after="0"/>
              <w:rPr>
                <w:sz w:val="20"/>
                <w:szCs w:val="20"/>
                <w:color w:val="auto"/>
              </w:rPr>
            </w:pPr>
            <w:r>
              <w:rPr>
                <w:rFonts w:ascii="Arial" w:cs="Arial" w:eastAsia="Arial" w:hAnsi="Arial"/>
                <w:sz w:val="18"/>
                <w:szCs w:val="18"/>
                <w:color w:val="auto"/>
              </w:rPr>
              <w:t>Accrued expenses consist of the following as of December 31, 2015, and 2014 (in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8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clinical trial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1,518</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11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August 2013, we sold 1.2 million shares of common stock at a price of $10.00 per share for total proceeds of approximately $12.0 million. Each share had one warrant attached, exercisable for 180 days into a single common share in the Company at a price of $10.00 per share.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2014, the Company sold 1.2 million shares of common stock for total proceeds of approximately $12.0 million from the exercise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warrants by its warrant holders. From July through November 18, 2014, the Company sold approximately 601,000 shares of common stock at a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 per share for total proceeds of approximately $9.0 million. Each share had one warrant attached, which would be exercisable for 180 days into a single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 in the Company at a price of $15.00 per share. As of December 31, 2014, the Company had total warrants outstanding for the purchase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493,000 shares of common stock at a price of $15.00 per share.</w:t>
      </w:r>
    </w:p>
    <w:p>
      <w:pPr>
        <w:spacing w:after="0" w:line="10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From November 24, 2014 through December 31, 2014, the Company sold 3.0 million shares of common stock at $15.00 per share pursuant to stock subscription agreements for total proceeds of $44.8 million of which $410,000 remained uncollected as of December 31, 2014 and was received in January 2015. The Company incurred issuance costs of approximately $1.9 million in cash and $0.4 million in non-cash consideration.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December 2014, 15,000 stock options were exercised at a price of $10.00 for total proceeds of $0.15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3" w:name="page64"/>
    <w:bookmarkEnd w:id="63"/>
    <w:p>
      <w:pPr>
        <w:ind w:right="140" w:firstLine="648"/>
        <w:spacing w:after="0" w:line="308" w:lineRule="auto"/>
        <w:rPr>
          <w:sz w:val="20"/>
          <w:szCs w:val="20"/>
          <w:color w:val="auto"/>
        </w:rPr>
      </w:pPr>
      <w:r>
        <w:rPr>
          <w:rFonts w:ascii="Arial" w:cs="Arial" w:eastAsia="Arial" w:hAnsi="Arial"/>
          <w:sz w:val="17"/>
          <w:szCs w:val="17"/>
          <w:color w:val="auto"/>
        </w:rPr>
        <w:t>From January to March 2015, warrants to purchase a total of 164,999 shares of common stock were exercised at $15.00 per share for a total of $2.5 million. Also, the Company received approximately $8,000 in January 2015 from 15,000 exercised stock options at $0.55 per share.</w:t>
      </w:r>
    </w:p>
    <w:p>
      <w:pPr>
        <w:spacing w:after="0" w:line="12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April 17, 2015, the Company sold 4.0 million shares of common stock at $19.00 per share in its Initial Public Offering (“IPO”) resulting in net proceeds of $70.6 million.</w:t>
      </w:r>
    </w:p>
    <w:p>
      <w:pPr>
        <w:spacing w:after="0" w:line="13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From April to June 2015, excluding the IPO, the Company issues 208,333 shares of common stock for total proceeds of approximately $3.1 million from the exercise of warrants by common stock shareholders. Also, the Company received $0.7 million from 106,000 exercised stock options.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2015, 12,000 stock options were exercised at a price of $2.50 for total proceeds of $30,000.</w:t>
      </w:r>
    </w:p>
    <w:p>
      <w:pPr>
        <w:spacing w:after="0" w:line="1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From October through December 31, 2015, 226,141 shares of common stock were issued upon the exercise of stock option at the price $ 0.53 to $10 per share for a total of $639,253.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Options</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November 11, 2005, the board of directors of the Company adopted a stock option plan (“the Plan”) pursuant to which the Company may grant incentive stock and non-qualified stock options to directors, officers, employees or consultants of the Company or an affiliate or other persons as the Compensation Committee may approve.</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5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660"/>
              <w:spacing w:after="0"/>
              <w:rPr>
                <w:sz w:val="20"/>
                <w:szCs w:val="20"/>
                <w:color w:val="auto"/>
              </w:rPr>
            </w:pPr>
            <w:r>
              <w:rPr>
                <w:rFonts w:ascii="Arial" w:cs="Arial" w:eastAsia="Arial" w:hAnsi="Arial"/>
                <w:sz w:val="18"/>
                <w:szCs w:val="18"/>
                <w:color w:val="auto"/>
                <w:w w:val="95"/>
              </w:rPr>
              <w:t>A summary of changes in common stock options issued under the Plan is as follows:</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87"/>
        </w:trPr>
        <w:tc>
          <w:tcPr>
            <w:tcW w:w="7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7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5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Exercise Price</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3,669,666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5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(316,167)</w:t>
            </w: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3,393,499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1,563,666</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11.23</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(58,000)</w:t>
            </w: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4,884,165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$15.00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375,928</w:t>
            </w:r>
          </w:p>
        </w:tc>
        <w:tc>
          <w:tcPr>
            <w:tcW w:w="500" w:type="dxa"/>
            <w:vAlign w:val="bottom"/>
          </w:tcPr>
          <w:p>
            <w:pPr>
              <w:jc w:val="right"/>
              <w:spacing w:after="0"/>
              <w:rPr>
                <w:sz w:val="20"/>
                <w:szCs w:val="20"/>
                <w:color w:val="auto"/>
              </w:rPr>
            </w:pPr>
            <w:r>
              <w:rPr>
                <w:rFonts w:ascii="Arial" w:cs="Arial" w:eastAsia="Arial" w:hAnsi="Arial"/>
                <w:sz w:val="18"/>
                <w:szCs w:val="18"/>
                <w:color w:val="auto"/>
              </w:rPr>
              <w:t>8.47</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17.95</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(359,141)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Forfeitures</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(114,375)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20.93</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4,786,577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$21.99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weighted average fair value of the options issued to directors, employees and consultants during the fiscal years ended December 31, 2015, 2014 and 2013, was $17.95, $8.23 and $11.37, respectively. Options with an intrinsic value of $2.86, $2.90 and $2.51, became vested during 2015, 2014 and 2013, respectively. The total intrinsic value of options exercisable and total options outstanding at December 31, 2015 was $18,697,000 and $19,044,000, respectively. The total fair value of options vested during the years ended December 31, 2015, 2014 and 2013 was $$5,463,000, $6,999,000 and $632,500,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64" w:name="page65"/>
    <w:bookmarkEnd w:id="64"/>
    <w:p>
      <w:pPr>
        <w:ind w:right="100" w:firstLine="648"/>
        <w:spacing w:after="0" w:line="277" w:lineRule="auto"/>
        <w:rPr>
          <w:sz w:val="20"/>
          <w:szCs w:val="20"/>
          <w:color w:val="auto"/>
        </w:rPr>
      </w:pPr>
      <w:r>
        <w:rPr>
          <w:rFonts w:ascii="Arial" w:cs="Arial" w:eastAsia="Arial" w:hAnsi="Arial"/>
          <w:sz w:val="18"/>
          <w:szCs w:val="18"/>
          <w:color w:val="auto"/>
        </w:rPr>
        <w:t>As of December 31, 2015, there was approximately $5.0 million of unrecognized compensation cost, related to stock options granted under the Plan which will be amortized to stock compensation expense over the next 2.02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outstanding options under the Plan as of December 31,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vMerge w:val="restart"/>
          </w:tcPr>
          <w:p>
            <w:pPr>
              <w:jc w:val="right"/>
              <w:ind w:right="190"/>
              <w:spacing w:after="0"/>
              <w:rPr>
                <w:sz w:val="20"/>
                <w:szCs w:val="20"/>
                <w:color w:val="auto"/>
              </w:rPr>
            </w:pPr>
            <w:r>
              <w:rPr>
                <w:rFonts w:ascii="Arial" w:cs="Arial" w:eastAsia="Arial" w:hAnsi="Arial"/>
                <w:sz w:val="18"/>
                <w:szCs w:val="18"/>
                <w:color w:val="auto"/>
              </w:rPr>
              <w:t>Options outstanding</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0" w:type="dxa"/>
            <w:vAlign w:val="bottom"/>
            <w:gridSpan w:val="3"/>
          </w:tcPr>
          <w:p>
            <w:pPr>
              <w:jc w:val="right"/>
              <w:ind w:right="1030"/>
              <w:spacing w:after="0"/>
              <w:rPr>
                <w:sz w:val="20"/>
                <w:szCs w:val="20"/>
                <w:color w:val="auto"/>
              </w:rPr>
            </w:pPr>
            <w:r>
              <w:rPr>
                <w:rFonts w:ascii="Arial" w:cs="Arial" w:eastAsia="Arial" w:hAnsi="Arial"/>
                <w:sz w:val="18"/>
                <w:szCs w:val="18"/>
                <w:color w:val="auto"/>
              </w:rPr>
              <w:t>Options Vested and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00" w:type="dxa"/>
            <w:vAlign w:val="bottom"/>
            <w:gridSpan w:val="3"/>
            <w:vMerge w:val="restart"/>
          </w:tcPr>
          <w:p>
            <w:pPr>
              <w:jc w:val="right"/>
              <w:ind w:right="1270"/>
              <w:spacing w:after="0"/>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850"/>
              <w:spacing w:after="0"/>
              <w:rPr>
                <w:sz w:val="20"/>
                <w:szCs w:val="20"/>
                <w:color w:val="auto"/>
              </w:rPr>
            </w:pPr>
            <w:r>
              <w:rPr>
                <w:rFonts w:ascii="Arial" w:cs="Arial" w:eastAsia="Arial" w:hAnsi="Arial"/>
                <w:sz w:val="18"/>
                <w:szCs w:val="18"/>
                <w:color w:val="auto"/>
              </w:rPr>
              <w:t>Exercise</w:t>
            </w:r>
          </w:p>
        </w:tc>
        <w:tc>
          <w:tcPr>
            <w:tcW w:w="17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180" w:type="dxa"/>
            <w:vAlign w:val="bottom"/>
          </w:tcPr>
          <w:p>
            <w:pPr>
              <w:spacing w:after="0"/>
              <w:rPr>
                <w:sz w:val="18"/>
                <w:szCs w:val="18"/>
                <w:color w:val="auto"/>
              </w:rPr>
            </w:pPr>
          </w:p>
        </w:tc>
        <w:tc>
          <w:tcPr>
            <w:tcW w:w="1980" w:type="dxa"/>
            <w:vAlign w:val="bottom"/>
          </w:tcPr>
          <w:p>
            <w:pPr>
              <w:jc w:val="center"/>
              <w:ind w:right="370"/>
              <w:spacing w:after="0"/>
              <w:rPr>
                <w:sz w:val="20"/>
                <w:szCs w:val="20"/>
                <w:color w:val="auto"/>
              </w:rPr>
            </w:pPr>
            <w:r>
              <w:rPr>
                <w:rFonts w:ascii="Arial" w:cs="Arial" w:eastAsia="Arial" w:hAnsi="Arial"/>
                <w:sz w:val="18"/>
                <w:szCs w:val="18"/>
                <w:color w:val="auto"/>
                <w:w w:val="90"/>
              </w:rPr>
              <w:t>Weighted- Average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ind w:right="970"/>
              <w:spacing w:after="0"/>
              <w:rPr>
                <w:sz w:val="20"/>
                <w:szCs w:val="20"/>
                <w:color w:val="auto"/>
              </w:rPr>
            </w:pPr>
            <w:r>
              <w:rPr>
                <w:rFonts w:ascii="Arial" w:cs="Arial" w:eastAsia="Arial" w:hAnsi="Arial"/>
                <w:sz w:val="18"/>
                <w:szCs w:val="18"/>
                <w:color w:val="auto"/>
              </w:rPr>
              <w:t>Price</w:t>
            </w:r>
          </w:p>
        </w:tc>
        <w:tc>
          <w:tcPr>
            <w:tcW w:w="1740" w:type="dxa"/>
            <w:vAlign w:val="bottom"/>
          </w:tcPr>
          <w:p>
            <w:pPr>
              <w:jc w:val="right"/>
              <w:ind w:right="630"/>
              <w:spacing w:after="0"/>
              <w:rPr>
                <w:sz w:val="20"/>
                <w:szCs w:val="20"/>
                <w:color w:val="auto"/>
              </w:rPr>
            </w:pPr>
            <w:r>
              <w:rPr>
                <w:rFonts w:ascii="Arial" w:cs="Arial" w:eastAsia="Arial" w:hAnsi="Arial"/>
                <w:sz w:val="18"/>
                <w:szCs w:val="18"/>
                <w:color w:val="auto"/>
              </w:rPr>
              <w:t>Number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20"/>
                <w:szCs w:val="20"/>
                <w:color w:val="auto"/>
              </w:rPr>
            </w:pPr>
          </w:p>
        </w:tc>
        <w:tc>
          <w:tcPr>
            <w:tcW w:w="1980" w:type="dxa"/>
            <w:vAlign w:val="bottom"/>
          </w:tcPr>
          <w:p>
            <w:pPr>
              <w:jc w:val="center"/>
              <w:ind w:right="350"/>
              <w:spacing w:after="0"/>
              <w:rPr>
                <w:sz w:val="20"/>
                <w:szCs w:val="20"/>
                <w:color w:val="auto"/>
              </w:rPr>
            </w:pPr>
            <w:r>
              <w:rPr>
                <w:rFonts w:ascii="Arial" w:cs="Arial" w:eastAsia="Arial" w:hAnsi="Arial"/>
                <w:sz w:val="18"/>
                <w:szCs w:val="18"/>
                <w:color w:val="auto"/>
                <w:w w:val="89"/>
              </w:rPr>
              <w:t>Exercise</w:t>
            </w: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21"/>
                <w:szCs w:val="21"/>
                <w:color w:val="auto"/>
              </w:rPr>
            </w:pPr>
          </w:p>
        </w:tc>
        <w:tc>
          <w:tcPr>
            <w:tcW w:w="1980" w:type="dxa"/>
            <w:vAlign w:val="bottom"/>
          </w:tcPr>
          <w:p>
            <w:pPr>
              <w:jc w:val="center"/>
              <w:ind w:right="370"/>
              <w:spacing w:after="0"/>
              <w:rPr>
                <w:sz w:val="20"/>
                <w:szCs w:val="20"/>
                <w:color w:val="auto"/>
              </w:rPr>
            </w:pPr>
            <w:r>
              <w:rPr>
                <w:rFonts w:ascii="Arial" w:cs="Arial" w:eastAsia="Arial" w:hAnsi="Arial"/>
                <w:sz w:val="18"/>
                <w:szCs w:val="18"/>
                <w:color w:val="auto"/>
                <w:w w:val="87"/>
              </w:rPr>
              <w:t>Price</w:t>
            </w: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0.50</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0.72</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0.95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0.72</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0.90</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2.50</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632,559</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2.81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619,559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3.75</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3.75</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5.00</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77,700</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4.57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5.00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77,700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7.00</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7.50</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701,999</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5.30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7.50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701,999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8.47</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8.47</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10.00</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1,025,433</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7.18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10.00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640,308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14.18</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14.18</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15.00</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778,458</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7.81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15.00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656,333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16.91</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65,900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16.91</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18.02</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15,660</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9.48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18.02</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15,660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19.00</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19.09</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49,000</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9.36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19.09</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32,000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19.94</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19.94</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20.11</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9,000</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9.48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20.49</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20.49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20.93</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70,368</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9.48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20.93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21.99</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9,000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21.99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4,784,577</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8.01</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4,114,857</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82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19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980" w:type="dxa"/>
            <w:vAlign w:val="bottom"/>
            <w:shd w:val="clear" w:color="auto" w:fill="000000"/>
          </w:tcPr>
          <w:p>
            <w:pPr>
              <w:spacing w:after="0"/>
              <w:rPr>
                <w:sz w:val="6"/>
                <w:szCs w:val="6"/>
                <w:color w:val="auto"/>
              </w:rPr>
            </w:pPr>
          </w:p>
        </w:tc>
        <w:tc>
          <w:tcPr>
            <w:tcW w:w="16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7. Net Loss Per Share</w:t>
      </w:r>
    </w:p>
    <w:p>
      <w:pPr>
        <w:spacing w:after="0" w:line="18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years ended December 31, 2015, 2014 and 2013 (in thousands,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19"/>
                <w:szCs w:val="19"/>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(37,483)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w:t>
            </w: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30,801,994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24,162,700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22,220,416</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3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9"/>
                <w:szCs w:val="19"/>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4,786,577</w:t>
            </w:r>
          </w:p>
        </w:tc>
        <w:tc>
          <w:tcPr>
            <w:tcW w:w="1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4,884,165</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3,393,499</w:t>
            </w: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common stock</w:t>
            </w: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493,000</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1,204,510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4,786,577</w:t>
            </w:r>
          </w:p>
        </w:tc>
        <w:tc>
          <w:tcPr>
            <w:tcW w:w="1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5,377,165</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4,598,009</w:t>
            </w:r>
          </w:p>
        </w:tc>
      </w:tr>
      <w:tr>
        <w:trPr>
          <w:trHeight w:val="20"/>
        </w:trPr>
        <w:tc>
          <w:tcPr>
            <w:tcW w:w="7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no provision for income taxes for the years ended December 31, 2015, 2014 and 2013 due to the reported net losses in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of the Company’s Canadian federal statutory income tax rate to the Company’s effective income tax rate is as follows for the years ended December 31, 2015, 2014 and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2015</w:t>
            </w: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2014</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computed at federal tax rate</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26.0%</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(27.2%)</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and other</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2015, 2014 and 2013, the Company had no interest and penalties related to income taxes.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December 31, 2015, and 2014, the Company has unused net operating losses of approximately $87.1 million .(approximately $70.8 million in Canada, $11.7 million in the U.S., $4.0 million in Germany and $0.6 million in Switzerland and Japan) and $62.6 million (approximately $51.2 million in Canada, $9.7 million in the U.S., $1.1 million in Germany and $0.6 million in Switzerland and Japan) respectively available to reduce taxable income of future years. The net operating losses begin to expire in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6" w:name="page67"/>
    <w:bookmarkEnd w:id="66"/>
    <w:p>
      <w:pPr>
        <w:ind w:right="40" w:firstLine="648"/>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has established a valuation allowance due to uncertainties regarding the realization of deferred tax assets based upon the Company’s lack of earnings history. Significant components of the Company’s deferred tax assets and liabilities as of December 31, 2015, 2014 and 2013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2014</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Noncapital losses</w:t>
            </w:r>
          </w:p>
        </w:tc>
        <w:tc>
          <w:tcPr>
            <w:tcW w:w="19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23,038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16,901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research and development credits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1,591</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1,311</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3,982</w:t>
            </w:r>
          </w:p>
        </w:tc>
        <w:tc>
          <w:tcPr>
            <w:tcW w:w="38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issue costs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38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160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w:t>
            </w:r>
          </w:p>
        </w:tc>
        <w:tc>
          <w:tcPr>
            <w:tcW w:w="1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29,003</w:t>
            </w:r>
          </w:p>
        </w:tc>
        <w:tc>
          <w:tcPr>
            <w:tcW w:w="38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18,688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Stock Option Exercised</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issuance costs</w:t>
            </w:r>
          </w:p>
        </w:tc>
        <w:tc>
          <w:tcPr>
            <w:tcW w:w="1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28,967</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18,648</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 for deferred tax assets</w:t>
            </w:r>
          </w:p>
        </w:tc>
        <w:tc>
          <w:tcPr>
            <w:tcW w:w="1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(28,967)</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(18,648)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 including valuation allowance</w:t>
            </w:r>
          </w:p>
        </w:tc>
        <w:tc>
          <w:tcPr>
            <w:tcW w:w="1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allowance increased by approximately $10.3 and $9.4 million during the year ended December 31, 2015 and 2014 respectively.</w:t>
      </w:r>
    </w:p>
    <w:p>
      <w:pPr>
        <w:spacing w:after="0" w:line="1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2015 and 2014, the Company had no unrecognized tax benefits.</w:t>
      </w:r>
    </w:p>
    <w:p>
      <w:pPr>
        <w:spacing w:after="0" w:line="16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files federal income tax returns in Canada, US, Switzerland, Germany, and Japan. The Company also files income tax returns in the state of Texas in the US. The statute of limitations for assessment by local taxing authorities is open for tax years ended after December 2011. There are currently no federal or state income tax audits in progress.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Transactions</w:t>
      </w:r>
    </w:p>
    <w:p>
      <w:pPr>
        <w:spacing w:after="0" w:line="18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Legal fees of approximately $37,000 and $35,000 were incurred to a law firm for legal services rendered in which a former director of the Company is a senior partner in 2014 and 2013, respectively. The Company had outstanding accounts payable to the same firm in the amount of approximately $37,000 at December 31, 2014. No outstanding account payable to such law firm as of December 31, 2013. There are no related-party transactions in 2015.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January 12, 2008, the Company entered a lease agreement to lease its facility in Austin, Texas, U.S. On September 15, 2010, the Company entered into a second lease agreement to lease additional space in Austin, TX, U.S. Both leases expired in 2013. On March 20, 2013, the company extended the lease for another 21 months with the same terms and rental rates as the current leases. On February 28, 2015, the Company extended the leases for another four years with two years early termination right. Rent expense was approximately $688,000, $535,000 and $553,000 for the years ended December 31, 2015, 2014 and 2013, respectively. The future minimum lease payments are as follows as of December 31, 2015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jc w:val="right"/>
              <w:ind w:right="4770"/>
              <w:spacing w:after="0"/>
              <w:rPr>
                <w:sz w:val="20"/>
                <w:szCs w:val="20"/>
                <w:color w:val="auto"/>
              </w:rPr>
            </w:pPr>
            <w:r>
              <w:rPr>
                <w:rFonts w:ascii="Arial" w:cs="Arial" w:eastAsia="Arial" w:hAnsi="Arial"/>
                <w:sz w:val="18"/>
                <w:szCs w:val="18"/>
                <w:color w:val="auto"/>
                <w:w w:val="84"/>
              </w:rPr>
              <w:t>2016</w:t>
            </w:r>
          </w:p>
        </w:tc>
        <w:tc>
          <w:tcPr>
            <w:tcW w:w="5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16"/>
        </w:trPr>
        <w:tc>
          <w:tcPr>
            <w:tcW w:w="5220" w:type="dxa"/>
            <w:vAlign w:val="bottom"/>
          </w:tcPr>
          <w:p>
            <w:pPr>
              <w:jc w:val="right"/>
              <w:ind w:right="4770"/>
              <w:spacing w:after="0"/>
              <w:rPr>
                <w:sz w:val="20"/>
                <w:szCs w:val="20"/>
                <w:color w:val="auto"/>
              </w:rPr>
            </w:pPr>
            <w:r>
              <w:rPr>
                <w:rFonts w:ascii="Arial" w:cs="Arial" w:eastAsia="Arial" w:hAnsi="Arial"/>
                <w:sz w:val="18"/>
                <w:szCs w:val="18"/>
                <w:color w:val="auto"/>
                <w:w w:val="84"/>
              </w:rPr>
              <w:t>2017</w:t>
            </w:r>
          </w:p>
        </w:tc>
        <w:tc>
          <w:tcPr>
            <w:tcW w:w="5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16"/>
        </w:trPr>
        <w:tc>
          <w:tcPr>
            <w:tcW w:w="5220" w:type="dxa"/>
            <w:vAlign w:val="bottom"/>
            <w:shd w:val="clear" w:color="auto" w:fill="CCEEFF"/>
          </w:tcPr>
          <w:p>
            <w:pPr>
              <w:jc w:val="right"/>
              <w:ind w:right="4770"/>
              <w:spacing w:after="0"/>
              <w:rPr>
                <w:sz w:val="20"/>
                <w:szCs w:val="20"/>
                <w:color w:val="auto"/>
              </w:rPr>
            </w:pPr>
            <w:r>
              <w:rPr>
                <w:rFonts w:ascii="Arial" w:cs="Arial" w:eastAsia="Arial" w:hAnsi="Arial"/>
                <w:sz w:val="18"/>
                <w:szCs w:val="18"/>
                <w:color w:val="auto"/>
                <w:w w:val="84"/>
              </w:rPr>
              <w:t>2018</w:t>
            </w:r>
          </w:p>
        </w:tc>
        <w:tc>
          <w:tcPr>
            <w:tcW w:w="5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0"/>
        </w:trPr>
        <w:tc>
          <w:tcPr>
            <w:tcW w:w="5220" w:type="dxa"/>
            <w:vAlign w:val="bottom"/>
          </w:tcPr>
          <w:p>
            <w:pPr>
              <w:jc w:val="right"/>
              <w:ind w:right="4770"/>
              <w:spacing w:after="0"/>
              <w:rPr>
                <w:sz w:val="20"/>
                <w:szCs w:val="20"/>
                <w:color w:val="auto"/>
              </w:rPr>
            </w:pPr>
            <w:r>
              <w:rPr>
                <w:rFonts w:ascii="Arial" w:cs="Arial" w:eastAsia="Arial" w:hAnsi="Arial"/>
                <w:sz w:val="18"/>
                <w:szCs w:val="18"/>
                <w:color w:val="auto"/>
                <w:w w:val="84"/>
              </w:rPr>
              <w:t>2019</w:t>
            </w:r>
          </w:p>
        </w:tc>
        <w:tc>
          <w:tcPr>
            <w:tcW w:w="5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37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XBiotech Corporate officers, Queena Han (VP of Finance) and John Simard (President and CEO), along with XBiotech Inc.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is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 As a result of the news release, XBiotech (traded on the Nasdaq) stock tumbled. The resulting securities class action lawsuits are seeking relief for plaintiffs who report financial losses due to the alleged false and misleading statements. Both lawsuits are in the early procedural stages. As of February 2016, a lead plaintiff was assigned in the Texas case with the amended complaint scheduled to be filed with the court in April 2016. In California, motions to challenge venue and personal jurisdiction are due, by defendants, to the court in May 2016.</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8" w:lineRule="exact"/>
        <w:rPr>
          <w:sz w:val="20"/>
          <w:szCs w:val="20"/>
          <w:color w:val="auto"/>
        </w:rPr>
      </w:pPr>
    </w:p>
    <w:p>
      <w:pPr>
        <w:ind w:right="340" w:firstLine="501"/>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right="440" w:firstLine="50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117" w:lineRule="exact"/>
        <w:rPr>
          <w:sz w:val="20"/>
          <w:szCs w:val="20"/>
          <w:color w:val="auto"/>
        </w:rPr>
      </w:pPr>
    </w:p>
    <w:p>
      <w:pPr>
        <w:ind w:firstLine="501"/>
        <w:spacing w:after="0" w:line="297"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Based on the Company’s assessment, management has concluded that its internal control over financial reporting was effective as of December 31, 2015 to provide reasonable assurance regarding the reliability of financial reporting and the preparation of financial statements in accordance with GAAP.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December 31, 2015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40" w:firstLine="501"/>
        <w:spacing w:after="0" w:line="302" w:lineRule="auto"/>
        <w:rPr>
          <w:sz w:val="20"/>
          <w:szCs w:val="20"/>
          <w:color w:val="auto"/>
        </w:rPr>
      </w:pPr>
      <w:r>
        <w:rPr>
          <w:rFonts w:ascii="Arial" w:cs="Arial" w:eastAsia="Arial" w:hAnsi="Arial"/>
          <w:sz w:val="16"/>
          <w:szCs w:val="16"/>
          <w:color w:val="auto"/>
        </w:rPr>
        <w:t>We incorporate by reference the information required by this Item with respect to directors and the Audit Committee from the information under the caption “ELECTION OF DIRECTORS,” including in particular the information under “Nominating, Governance and Review Committee” and “Audit Committee,” contained in our definitive Proxy Statement (the “Proxy Statement”), which we will file on or about April 29, 2016 with the Securities and Exchange Commission in connection with the solicitation of proxies for our 2016 Annual Meeting of Stockholders to be held on June 20, 2016.</w:t>
      </w:r>
    </w:p>
    <w:p>
      <w:pPr>
        <w:spacing w:after="0" w:line="2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40" w:firstLine="501"/>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“Information about Executive Officer and Director Compensation,” “Compensation Committee Interlocks and Insider Participation,” “Employment Arrangements” and “Compensation Committee Report” of the Proxy Statement.</w:t>
      </w:r>
    </w:p>
    <w:p>
      <w:pPr>
        <w:spacing w:after="0" w:line="285" w:lineRule="exact"/>
        <w:rPr>
          <w:sz w:val="20"/>
          <w:szCs w:val="20"/>
          <w:color w:val="auto"/>
        </w:rPr>
      </w:pPr>
    </w:p>
    <w:p>
      <w:pPr>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CERTATIN BENEFICIAL OWNERS AND MANAGEMENT AND RELATED STOCKHOLDER MATTERS</w:t>
      </w:r>
    </w:p>
    <w:p>
      <w:pPr>
        <w:spacing w:after="0" w:line="58"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 “Security Ownership of Certain Beneficial Owners and Management" in our Proxy Statement and is incorporated herein by reference.</w:t>
      </w:r>
    </w:p>
    <w:p>
      <w:pPr>
        <w:spacing w:after="0" w:line="62" w:lineRule="exact"/>
        <w:rPr>
          <w:sz w:val="20"/>
          <w:szCs w:val="20"/>
          <w:color w:val="auto"/>
        </w:rPr>
      </w:pPr>
    </w:p>
    <w:p>
      <w:pPr>
        <w:ind w:right="360" w:firstLine="501"/>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headed “Equity Compensation Plan Information” in our Proxy Statement and is incorporated herein by reference.</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RELATIONSHPS AND RELATED TRANSACTIONS AND DIRECTOR INDENPENDENCE</w:t>
      </w:r>
    </w:p>
    <w:p>
      <w:pPr>
        <w:spacing w:after="0" w:line="121" w:lineRule="exact"/>
        <w:rPr>
          <w:sz w:val="20"/>
          <w:szCs w:val="20"/>
          <w:color w:val="auto"/>
        </w:rPr>
      </w:pPr>
    </w:p>
    <w:p>
      <w:pPr>
        <w:ind w:right="560" w:firstLine="501"/>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herein by reference.</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herein by reference.</w:t>
      </w:r>
    </w:p>
    <w:p>
      <w:pPr>
        <w:spacing w:after="0" w:line="200" w:lineRule="exact"/>
        <w:rPr>
          <w:sz w:val="20"/>
          <w:szCs w:val="20"/>
          <w:color w:val="auto"/>
        </w:rPr>
      </w:pPr>
    </w:p>
    <w:p>
      <w:pPr>
        <w:spacing w:after="0" w:line="33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30, 2016.</w:t>
      </w:r>
    </w:p>
    <w:p>
      <w:pPr>
        <w:spacing w:after="0" w:line="16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XBIOTECH INC.</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762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SIMARD</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-130810</wp:posOffset>
            </wp:positionV>
            <wp:extent cx="24098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Signature and Title</w:t>
            </w:r>
          </w:p>
        </w:tc>
        <w:tc>
          <w:tcPr>
            <w:tcW w:w="130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JOHN SIMARD</w:t>
            </w:r>
          </w:p>
        </w:tc>
        <w:tc>
          <w:tcPr>
            <w:tcW w:w="13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March 30, 2016</w:t>
            </w: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w w:val="92"/>
              </w:rPr>
              <w:t>John Simard, Chief Executive Officer (Principal Executive Officer) and Director</w:t>
            </w: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QUEENA HAN</w:t>
            </w:r>
          </w:p>
        </w:tc>
        <w:tc>
          <w:tcPr>
            <w:tcW w:w="13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March 30, 2016</w:t>
            </w:r>
          </w:p>
        </w:tc>
      </w:tr>
      <w:tr>
        <w:trPr>
          <w:trHeight w:val="195"/>
        </w:trPr>
        <w:tc>
          <w:tcPr>
            <w:tcW w:w="5820" w:type="dxa"/>
            <w:vAlign w:val="bottom"/>
            <w:gridSpan w:val="2"/>
          </w:tcPr>
          <w:p>
            <w:pPr>
              <w:spacing w:after="0" w:line="195" w:lineRule="exact"/>
              <w:rPr>
                <w:sz w:val="20"/>
                <w:szCs w:val="20"/>
                <w:color w:val="auto"/>
              </w:rPr>
            </w:pPr>
            <w:r>
              <w:rPr>
                <w:rFonts w:ascii="Arial" w:cs="Arial" w:eastAsia="Arial" w:hAnsi="Arial"/>
                <w:sz w:val="18"/>
                <w:szCs w:val="18"/>
                <w:color w:val="auto"/>
              </w:rPr>
              <w:t>Queena Han, Vice President of Finance &amp; Human Resources (Principal</w:t>
            </w:r>
          </w:p>
        </w:tc>
        <w:tc>
          <w:tcPr>
            <w:tcW w:w="130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Financial Officer and Principal Accounting Officer)</w:t>
            </w:r>
          </w:p>
        </w:tc>
        <w:tc>
          <w:tcPr>
            <w:tcW w:w="13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FABRIZIO BONANNI</w:t>
            </w:r>
          </w:p>
        </w:tc>
        <w:tc>
          <w:tcPr>
            <w:tcW w:w="13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March 30, 2016</w:t>
            </w: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Fabrizio Bonanni, Director</w:t>
            </w: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 THORPE MCKENZIE</w:t>
            </w:r>
          </w:p>
        </w:tc>
        <w:tc>
          <w:tcPr>
            <w:tcW w:w="13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March 30, 2016</w:t>
            </w: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W. Thorpe McKenzie, Director</w:t>
            </w: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DANIEL VASELLA</w:t>
            </w:r>
          </w:p>
        </w:tc>
        <w:tc>
          <w:tcPr>
            <w:tcW w:w="13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March 30, 2016</w:t>
            </w: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Daniel Vasella, Director</w:t>
            </w: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1" w:name="page72"/>
    <w:bookmarkEnd w:id="71"/>
    <w:p>
      <w:pPr>
        <w:ind w:left="5400"/>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900" w:right="520" w:hanging="692"/>
        <w:spacing w:after="0" w:line="342"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Continuation dated September 23, 2005, issued by the Registrar of Companies, Province of British Columbia, Canada (incorporated by reference to Exhibit 3.1 to the Company’s Registration Statement on Form S-1 filed with the SEC on February 2, 2015)</w:t>
      </w:r>
    </w:p>
    <w:p>
      <w:pPr>
        <w:spacing w:after="0" w:line="124" w:lineRule="exact"/>
        <w:rPr>
          <w:sz w:val="20"/>
          <w:szCs w:val="20"/>
          <w:color w:val="auto"/>
        </w:rPr>
      </w:pPr>
    </w:p>
    <w:p>
      <w:pPr>
        <w:ind w:left="900" w:right="360" w:hanging="692"/>
        <w:spacing w:after="0" w:line="342"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Notice of Articles, dated December 8, 2005, issued by the Registrar of Companies, Province of British Columbia, Canada (incorporated by reference to Exhibit 3.1 to the Company’s Registration Statement on Form S-1 filed with the SEC on February 2, 2015)</w:t>
      </w:r>
    </w:p>
    <w:p>
      <w:pPr>
        <w:spacing w:after="0" w:line="124" w:lineRule="exact"/>
        <w:rPr>
          <w:sz w:val="20"/>
          <w:szCs w:val="20"/>
          <w:color w:val="auto"/>
        </w:rPr>
      </w:pPr>
    </w:p>
    <w:p>
      <w:pPr>
        <w:ind w:left="900" w:hanging="692"/>
        <w:spacing w:after="0" w:line="277" w:lineRule="auto"/>
        <w:tabs>
          <w:tab w:leader="none" w:pos="8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Articles of XBiotech Inc. (incorporated by reference to Exhibit 3.1 to the Company’s Registration Statement on Form S-1 filed with the SEC on February 2, 2015)</w:t>
      </w:r>
    </w:p>
    <w:p>
      <w:pPr>
        <w:spacing w:after="0" w:line="170" w:lineRule="exact"/>
        <w:rPr>
          <w:sz w:val="20"/>
          <w:szCs w:val="20"/>
          <w:color w:val="auto"/>
        </w:rPr>
      </w:pPr>
    </w:p>
    <w:p>
      <w:pPr>
        <w:ind w:left="900" w:right="20" w:hanging="788"/>
        <w:spacing w:after="0" w:line="277" w:lineRule="auto"/>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Executive Employment Agreement dated as of March 22, 2005 between XBiotech and John Simard (incorporated by reference to Exhibit 3.1 to the Company’s Registration Statement on Form S-1 filed with the SEC on February 2, 2015)</w:t>
      </w:r>
    </w:p>
    <w:p>
      <w:pPr>
        <w:spacing w:after="0" w:line="170" w:lineRule="exact"/>
        <w:rPr>
          <w:sz w:val="20"/>
          <w:szCs w:val="20"/>
          <w:color w:val="auto"/>
        </w:rPr>
      </w:pPr>
    </w:p>
    <w:p>
      <w:pPr>
        <w:ind w:left="900" w:right="160" w:hanging="788"/>
        <w:spacing w:after="0" w:line="277" w:lineRule="auto"/>
        <w:tabs>
          <w:tab w:leader="none" w:pos="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Change in Control Agreement dated as of March 22, 2005 between XBiotech and John Simard(incorporated by reference to Exhibit 3.1 to the Company’s Registration Statement on Form S-1 filed with the SEC on February 2, 2015)</w:t>
      </w:r>
    </w:p>
    <w:p>
      <w:pPr>
        <w:spacing w:after="0" w:line="170" w:lineRule="exact"/>
        <w:rPr>
          <w:sz w:val="20"/>
          <w:szCs w:val="20"/>
          <w:color w:val="auto"/>
        </w:rPr>
      </w:pPr>
    </w:p>
    <w:p>
      <w:pPr>
        <w:ind w:left="900" w:right="340" w:hanging="737"/>
        <w:spacing w:after="0" w:line="342" w:lineRule="auto"/>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Confidentiality and Assignment of Inventions Agreement dated as of March 22, 2005 between XBiotech and John Simard (incorporated by reference to Exhibit 3.1 to the Company’s Registration Statement on Form S-1 filed with the SEC on February 2, 2015)</w:t>
      </w:r>
    </w:p>
    <w:p>
      <w:pPr>
        <w:spacing w:after="0" w:line="124" w:lineRule="exact"/>
        <w:rPr>
          <w:sz w:val="20"/>
          <w:szCs w:val="20"/>
          <w:color w:val="auto"/>
        </w:rPr>
      </w:pPr>
    </w:p>
    <w:p>
      <w:pPr>
        <w:ind w:left="900" w:right="260" w:hanging="788"/>
        <w:spacing w:after="0" w:line="277" w:lineRule="auto"/>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XBiotech 2005 Incentive Stock Option Plan (incorporated by reference to Exhibit 3.1 to the Company’s Registration Statement on Form S-1 filed with the SEC on February 2, 2015)</w:t>
      </w:r>
    </w:p>
    <w:p>
      <w:pPr>
        <w:spacing w:after="0" w:line="170" w:lineRule="exact"/>
        <w:rPr>
          <w:sz w:val="20"/>
          <w:szCs w:val="20"/>
          <w:color w:val="auto"/>
        </w:rPr>
      </w:pPr>
    </w:p>
    <w:p>
      <w:pPr>
        <w:ind w:left="900" w:right="820" w:hanging="788"/>
        <w:spacing w:after="0" w:line="277" w:lineRule="auto"/>
        <w:tabs>
          <w:tab w:leader="none" w:pos="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indemnification agreement between XBiotech and each director of XBiotech(incorporated by reference to Exhibit 3.1 to the Company’s Registration Statement on Form S-1 filed with the SEC on February 2, 2015)</w:t>
      </w:r>
    </w:p>
    <w:p>
      <w:pPr>
        <w:spacing w:after="0" w:line="170" w:lineRule="exact"/>
        <w:rPr>
          <w:sz w:val="20"/>
          <w:szCs w:val="20"/>
          <w:color w:val="auto"/>
        </w:rPr>
      </w:pPr>
    </w:p>
    <w:p>
      <w:pPr>
        <w:ind w:left="900" w:right="20" w:hanging="737"/>
        <w:spacing w:after="0" w:line="259" w:lineRule="auto"/>
        <w:tabs>
          <w:tab w:leader="none" w:pos="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Agreement of Lease by and between NNN Met Center 4-9, LP and XBiotech USA, Inc. dated January 14, 2008 and the First Amendment dated January 17, 2008, the Second Amendment dated August 2010 and the Third Amendment dated March 2013 and the Forth Amendment dated February 28, 2015 (incorporated by reference to Exhibit 3.1 to the Company’s Registration Statement on Form S-1 filed with the SEC on March 10, 2015)</w:t>
      </w:r>
    </w:p>
    <w:p>
      <w:pPr>
        <w:spacing w:after="0" w:line="187" w:lineRule="exact"/>
        <w:rPr>
          <w:sz w:val="20"/>
          <w:szCs w:val="20"/>
          <w:color w:val="auto"/>
        </w:rPr>
      </w:pPr>
    </w:p>
    <w:p>
      <w:pPr>
        <w:ind w:left="900" w:right="600" w:hanging="737"/>
        <w:spacing w:after="0" w:line="264" w:lineRule="auto"/>
        <w:tabs>
          <w:tab w:leader="none" w:pos="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of Lease by and between NNN Met Center 4-9, LLP and XBiotech USA, Inc. for Suite 600 dated August 16, 2010 and First Amendment dated March 2013 and the Second Amendment dated February 28, 2015 (incorporated by reference to Exhibit 3.1 to the Company’s Registration Statement on Form S-1 filed with the SEC on March 10, 2015)</w:t>
      </w:r>
    </w:p>
    <w:p>
      <w:pPr>
        <w:spacing w:after="0" w:line="181" w:lineRule="exact"/>
        <w:rPr>
          <w:sz w:val="20"/>
          <w:szCs w:val="20"/>
          <w:color w:val="auto"/>
        </w:rPr>
      </w:pPr>
    </w:p>
    <w:p>
      <w:pPr>
        <w:ind w:left="900" w:right="40" w:hanging="788"/>
        <w:spacing w:after="0" w:line="277" w:lineRule="auto"/>
        <w:tabs>
          <w:tab w:leader="none" w:pos="8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Board Member Agreement dated November 4, 2014 between XBiotech, Inc. and Daniel Vasella (incorporated by reference to Exhibit 3.1 to the Company’s Registration Statement on Form S-1 filed with the SEC on February 2, 2015)</w:t>
      </w:r>
    </w:p>
    <w:p>
      <w:pPr>
        <w:spacing w:after="0" w:line="170" w:lineRule="exact"/>
        <w:rPr>
          <w:sz w:val="20"/>
          <w:szCs w:val="20"/>
          <w:color w:val="auto"/>
        </w:rPr>
      </w:pPr>
    </w:p>
    <w:p>
      <w:pPr>
        <w:ind w:left="900" w:right="40" w:hanging="737"/>
        <w:spacing w:after="0" w:line="264" w:lineRule="auto"/>
        <w:tabs>
          <w:tab w:leader="none" w:pos="8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Licensing Agreement dated January 16, 2015 between XBiotech USA, Inc. and Lonza Sales AG (portions of this exhibit have been omitted pursuant to a request for confidential treatment under Rule 406 of the Securities Act. incorporated by reference to Exhibit 3.1 to the Company’s Registration Statement on Form S-1 filed with the SEC on March 10, 2015)</w:t>
      </w:r>
    </w:p>
    <w:p>
      <w:pPr>
        <w:spacing w:after="0" w:line="181" w:lineRule="exact"/>
        <w:rPr>
          <w:sz w:val="20"/>
          <w:szCs w:val="20"/>
          <w:color w:val="auto"/>
        </w:rPr>
      </w:pPr>
    </w:p>
    <w:p>
      <w:pPr>
        <w:ind w:left="900" w:right="40" w:hanging="782"/>
        <w:spacing w:after="0" w:line="312" w:lineRule="auto"/>
        <w:tabs>
          <w:tab w:leader="none" w:pos="8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Research and Collaboration Agreement dated December 15, 2014 by and between XBiotech USA, Inc. and the South Texas Blood &amp; Tissue Center (portions of this exhibit have been omitted pursuant to a request for confidential treatment under Rule 406 of the Securities Act of 1933. incorporated by reference to Exhibit 3.1 to the Company’s Registration Statement on Form S-1 filed with the SEC on March 10, 2015)</w:t>
      </w:r>
    </w:p>
    <w:p>
      <w:pPr>
        <w:spacing w:after="0" w:line="147" w:lineRule="exact"/>
        <w:rPr>
          <w:sz w:val="20"/>
          <w:szCs w:val="20"/>
          <w:color w:val="auto"/>
        </w:rPr>
      </w:pPr>
    </w:p>
    <w:p>
      <w:pPr>
        <w:ind w:left="900" w:right="40" w:hanging="779"/>
        <w:spacing w:after="0" w:line="277" w:lineRule="auto"/>
        <w:tabs>
          <w:tab w:leader="none" w:pos="8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XBiotech Inc. 2015 Equity Incentive Plan (incorporated by reference to Exhibit 3.1 to the Company’s Registration Statement on Form S-1 filed with the SEC on March 10, 2015)</w:t>
      </w:r>
    </w:p>
    <w:p>
      <w:pPr>
        <w:spacing w:after="0" w:line="38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2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380" w:top="688" w:right="239" w:bottom="1440" w:gutter="0" w:footer="0" w:header="0"/>
        </w:sectPr>
      </w:pPr>
    </w:p>
    <w:bookmarkStart w:id="72" w:name="page73"/>
    <w:bookmarkEnd w:id="72"/>
    <w:p>
      <w:pPr>
        <w:ind w:left="780" w:right="200" w:hanging="782"/>
        <w:spacing w:after="0" w:line="277" w:lineRule="auto"/>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Principal Executive Officer Required Under Rules 13a-14(a) and 15d-14(a) of the Securities Act of 1934, as amended, as adopted pursuant to Section 302 of the Sarbanes-Oxley Act of 2002</w:t>
      </w:r>
    </w:p>
    <w:p>
      <w:pPr>
        <w:spacing w:after="0" w:line="170" w:lineRule="exact"/>
        <w:rPr>
          <w:sz w:val="20"/>
          <w:szCs w:val="20"/>
          <w:color w:val="auto"/>
        </w:rPr>
      </w:pPr>
    </w:p>
    <w:p>
      <w:pPr>
        <w:ind w:left="780" w:right="260" w:hanging="782"/>
        <w:spacing w:after="0" w:line="277" w:lineRule="auto"/>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Principal Financial Officer Required Under Rules 13a-14(a) and 15d-14(a) of the Securities Act of 1934, as amended, as adopted pursuant to Section 302 of the Sarbanes-Oxley Act of 2002</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to18 U.S.C. Section 1350, as adopted pursuant to Section 906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780" w:hanging="708"/>
        <w:spacing w:after="0" w:line="31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financial statements from the Xbiotech, Inc. Annual Report on Form 10-K for the year ended December 31, 2015, formatted in Extensive Business Reporting Language (XBRL): (i) consolidated balance sheets, (ii) consolidated statements of operations, (iii) consolidated statements of stockholders’ equity, (iv) consolidated statements of cash flows, and (v) notes to consolidated financial statements (detail tagged).</w:t>
      </w:r>
    </w:p>
    <w:p>
      <w:pPr>
        <w:spacing w:after="0" w:line="363" w:lineRule="exact"/>
        <w:rPr>
          <w:sz w:val="20"/>
          <w:szCs w:val="20"/>
          <w:color w:val="auto"/>
        </w:rPr>
      </w:pPr>
    </w:p>
    <w:p>
      <w:pPr>
        <w:ind w:left="780" w:hanging="624"/>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48895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40"/>
          </w:cols>
          <w:pgMar w:left="500" w:top="908" w:right="2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Country</w:t>
      </w:r>
    </w:p>
    <w:p>
      <w:pPr>
        <w:spacing w:after="0" w:line="200" w:lineRule="exact"/>
        <w:rPr>
          <w:sz w:val="20"/>
          <w:szCs w:val="20"/>
          <w:color w:val="auto"/>
        </w:rPr>
      </w:pPr>
    </w:p>
    <w:p>
      <w:pPr>
        <w:sectPr>
          <w:pgSz w:w="11900" w:h="16838" w:orient="portrait"/>
          <w:cols w:equalWidth="0" w:num="2">
            <w:col w:w="2820" w:space="720"/>
            <w:col w:w="788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XBiotech USA,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46" w:lineRule="exact"/>
        <w:rPr>
          <w:sz w:val="20"/>
          <w:szCs w:val="20"/>
          <w:color w:val="auto"/>
        </w:rPr>
      </w:pPr>
    </w:p>
    <w:p>
      <w:pPr>
        <w:sectPr>
          <w:pgSz w:w="11900" w:h="16838" w:orient="portrait"/>
          <w:cols w:equalWidth="0" w:num="2">
            <w:col w:w="2820" w:space="720"/>
            <w:col w:w="78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1">
            <w:col w:w="11420"/>
          </w:cols>
          <w:pgMar w:left="240" w:top="121" w:right="239" w:bottom="1440" w:gutter="0" w:footer="0" w:header="0"/>
          <w:type w:val="continuous"/>
        </w:sectPr>
      </w:pPr>
    </w:p>
    <w:p>
      <w:pPr>
        <w:spacing w:after="0" w:line="32" w:lineRule="exact"/>
        <w:rPr>
          <w:sz w:val="20"/>
          <w:szCs w:val="20"/>
          <w:color w:val="auto"/>
        </w:rPr>
      </w:pPr>
    </w:p>
    <w:p>
      <w:pPr>
        <w:ind w:right="880"/>
        <w:spacing w:after="0" w:line="302" w:lineRule="auto"/>
        <w:rPr>
          <w:sz w:val="20"/>
          <w:szCs w:val="20"/>
          <w:color w:val="auto"/>
        </w:rPr>
      </w:pPr>
      <w:r>
        <w:rPr>
          <w:rFonts w:ascii="Arial" w:cs="Arial" w:eastAsia="Arial" w:hAnsi="Arial"/>
          <w:sz w:val="16"/>
          <w:szCs w:val="16"/>
          <w:color w:val="auto"/>
        </w:rPr>
        <w:t>XBiotech Switzerland AG XBiotech Japan K.K. XBiotech Germany GmbH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2820" w:space="720"/>
            <w:col w:w="7880"/>
          </w:cols>
          <w:pgMar w:left="240" w:top="121"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333-207476) pertaining to the 2005 Incentive Stock Option Plan and 2015 Equity Incentive Plan of XBiotech Inc. of our report dated March 30, 2016, with respect to the consolidated financial statements of XBiotech Inc. included in its Annual Report (Form 10-K) for the year ended December 31, 2015, filed with the Securities and Exchange Commission.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18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1080" w:right="20" w:hanging="296"/>
        <w:spacing w:after="0" w:line="308" w:lineRule="auto"/>
        <w:tabs>
          <w:tab w:leader="none" w:pos="10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86"/>
        <w:spacing w:after="0" w:line="26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right="20" w:hanging="296"/>
        <w:spacing w:after="0" w:line="277"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2016</w:t>
      </w:r>
    </w:p>
    <w:p>
      <w:pPr>
        <w:spacing w:after="0" w:line="19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 John Simard</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-130810</wp:posOffset>
            </wp:positionV>
            <wp:extent cx="24701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18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1080" w:right="20" w:hanging="296"/>
        <w:spacing w:after="0" w:line="308" w:lineRule="auto"/>
        <w:tabs>
          <w:tab w:leader="none" w:pos="10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86"/>
        <w:spacing w:after="0" w:line="264"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right="20" w:hanging="296"/>
        <w:spacing w:after="0" w:line="277"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2016</w:t>
      </w:r>
    </w:p>
    <w:p>
      <w:pPr>
        <w:spacing w:after="0" w:line="19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Queena Han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907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2015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25"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 JOHN SIMARD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-130810</wp:posOffset>
            </wp:positionV>
            <wp:extent cx="24701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Date: March 30, 2016</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2015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25"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20" w:hanging="264"/>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0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-130810</wp:posOffset>
            </wp:positionV>
            <wp:extent cx="26155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Vice President, Finance and Human Resources and</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Date: March 30,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3"/>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2"/>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2019-12-29T12:24:52Z</dcterms:created>
  <dcterms:modified xsi:type="dcterms:W3CDTF">2019-12-29T12:24:52Z</dcterms:modified>
</cp:coreProperties>
</file>