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xbit20260630_10q.htm"/>
      <w:bookmarkStart w:id="1" w:name="ksxbit20260630_10q"/>
      <w:bookmarkEnd w:id="0"/>
      <w:bookmarkEnd w:id="1"/>
      <w:r>
        <w:rPr/>
        <w:t> </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UNITED STATES</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SECURITIES AND EXCHANGE COMMISSION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FORM 10-Q</w:t>
      </w:r>
    </w:p>
    <w:p>
      <w:pPr>
        <w:pStyle w:val="TextBody"/>
        <w:bidi w:val="0"/>
        <w:spacing w:before="0" w:after="0"/>
        <w:ind w:left="0" w:right="0" w:hanging="0"/>
        <w:jc w:val="left"/>
        <w:rPr>
          <w:caps w:val="false"/>
          <w:smallCaps w:val="false"/>
        </w:rPr>
      </w:pPr>
      <w:r>
        <w:rPr>
          <w:caps w:val="false"/>
          <w:smallCaps w:val="false"/>
        </w:rPr>
        <w:t> </w:t>
      </w:r>
    </w:p>
    <w:tbl>
      <w:tblPr>
        <w:tblW w:w="7660" w:type="dxa"/>
        <w:jc w:val="left"/>
        <w:tblInd w:w="0" w:type="dxa"/>
        <w:tblLayout w:type="fixed"/>
        <w:tblCellMar>
          <w:top w:w="0" w:type="dxa"/>
          <w:left w:w="0" w:type="dxa"/>
          <w:bottom w:w="0" w:type="dxa"/>
          <w:right w:w="0" w:type="dxa"/>
        </w:tblCellMar>
      </w:tblPr>
      <w:tblGrid>
        <w:gridCol w:w="230"/>
        <w:gridCol w:w="743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4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Quarterly Report Pursuant to Section</w:t>
            </w:r>
            <w:r>
              <w:rPr>
                <w:rFonts w:ascii="Times New Roman" w:hAnsi="Times New Roman"/>
                <w:caps w:val="false"/>
                <w:smallCaps w:val="false"/>
                <w:sz w:val="20"/>
              </w:rPr>
              <w:t> </w:t>
            </w:r>
            <w:r>
              <w:rPr>
                <w:rFonts w:ascii="Times New Roman" w:hAnsi="Times New Roman"/>
                <w:b/>
                <w:caps w:val="false"/>
                <w:smallCaps w:val="false"/>
                <w:sz w:val="20"/>
              </w:rPr>
              <w:t>13 or 15(d) of the Securities Exchange Act of 1934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quarterly period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or</w:t>
      </w:r>
    </w:p>
    <w:p>
      <w:pPr>
        <w:pStyle w:val="TextBody"/>
        <w:bidi w:val="0"/>
        <w:spacing w:before="0" w:after="0"/>
        <w:ind w:left="0" w:right="0" w:hanging="0"/>
        <w:jc w:val="left"/>
        <w:rPr>
          <w:caps w:val="false"/>
          <w:smallCaps w:val="false"/>
        </w:rPr>
      </w:pPr>
      <w:r>
        <w:rPr>
          <w:caps w:val="false"/>
          <w:smallCaps w:val="false"/>
        </w:rPr>
        <w:t> </w:t>
      </w:r>
    </w:p>
    <w:tbl>
      <w:tblPr>
        <w:tblW w:w="7705" w:type="dxa"/>
        <w:jc w:val="left"/>
        <w:tblInd w:w="0" w:type="dxa"/>
        <w:tblLayout w:type="fixed"/>
        <w:tblCellMar>
          <w:top w:w="0" w:type="dxa"/>
          <w:left w:w="0" w:type="dxa"/>
          <w:bottom w:w="0" w:type="dxa"/>
          <w:right w:w="0" w:type="dxa"/>
        </w:tblCellMar>
      </w:tblPr>
      <w:tblGrid>
        <w:gridCol w:w="230"/>
        <w:gridCol w:w="7475"/>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4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Transition Report Pursuant to Section</w:t>
            </w:r>
            <w:r>
              <w:rPr>
                <w:rFonts w:ascii="Times New Roman" w:hAnsi="Times New Roman"/>
                <w:caps w:val="false"/>
                <w:smallCaps w:val="false"/>
                <w:sz w:val="20"/>
              </w:rPr>
              <w:t> </w:t>
            </w:r>
            <w:r>
              <w:rPr>
                <w:rFonts w:ascii="Times New Roman" w:hAnsi="Times New Roman"/>
                <w:b/>
                <w:caps w:val="false"/>
                <w:smallCaps w:val="false"/>
                <w:sz w:val="20"/>
              </w:rPr>
              <w:t>13 or 15(d) of the Securities Exchange Act of 1934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Commission File Number 001-37347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48"/>
        </w:rPr>
      </w:pPr>
      <w:r>
        <w:rPr>
          <w:rFonts w:ascii="Times New Roman" w:hAnsi="Times New Roman"/>
          <w:b/>
          <w:caps w:val="false"/>
          <w:smallCaps w:val="false"/>
          <w:sz w:val="48"/>
        </w:rPr>
        <w:t>XBIOTECH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(Exact name of registrant as specified in charter)</w:t>
      </w:r>
    </w:p>
    <w:p>
      <w:pPr>
        <w:pStyle w:val="TextBody"/>
        <w:bidi w:val="0"/>
        <w:spacing w:before="0" w:after="0"/>
        <w:ind w:left="0" w:right="0" w:hanging="0"/>
        <w:jc w:val="left"/>
        <w:rPr>
          <w:caps w:val="false"/>
          <w:smallCaps w:val="false"/>
        </w:rPr>
      </w:pPr>
      <w:r>
        <w:rPr>
          <w:caps w:val="false"/>
          <w:smallCaps w:val="false"/>
        </w:rPr>
        <w:t> </w:t>
      </w:r>
    </w:p>
    <w:tbl>
      <w:tblPr>
        <w:tblW w:w="7735" w:type="dxa"/>
        <w:jc w:val="left"/>
        <w:tblInd w:w="0" w:type="dxa"/>
        <w:tblLayout w:type="fixed"/>
        <w:tblCellMar>
          <w:top w:w="0" w:type="dxa"/>
          <w:left w:w="0" w:type="dxa"/>
          <w:bottom w:w="0" w:type="dxa"/>
          <w:right w:w="0" w:type="dxa"/>
        </w:tblCellMar>
      </w:tblPr>
      <w:tblGrid>
        <w:gridCol w:w="4865"/>
        <w:gridCol w:w="2870"/>
      </w:tblGrid>
      <w:tr>
        <w:trPr/>
        <w:tc>
          <w:tcPr>
            <w:tcW w:w="486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British Columbia, Canada</w:t>
            </w:r>
          </w:p>
        </w:tc>
        <w:tc>
          <w:tcPr>
            <w:tcW w:w="287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__</w:t>
            </w:r>
          </w:p>
        </w:tc>
      </w:tr>
      <w:tr>
        <w:trPr/>
        <w:tc>
          <w:tcPr>
            <w:tcW w:w="486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or other jurisdiction of incorporation or organization)</w:t>
            </w:r>
          </w:p>
        </w:tc>
        <w:tc>
          <w:tcPr>
            <w:tcW w:w="287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(IRS Employer 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5217 Winnebago Ln, Austin, TX 78744</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(Address of principal executive offices)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Telephone Number (512) 386-2900</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(Registrant</w:t>
      </w:r>
      <w:r>
        <w:rPr>
          <w:rFonts w:ascii="Times New Roman" w:hAnsi="Times New Roman"/>
          <w:caps w:val="false"/>
          <w:smallCaps w:val="false"/>
          <w:sz w:val="20"/>
        </w:rPr>
        <w:t>’</w:t>
      </w:r>
      <w:r>
        <w:rPr>
          <w:rFonts w:ascii="Times New Roman" w:hAnsi="Times New Roman"/>
          <w:b/>
          <w:caps w:val="false"/>
          <w:smallCaps w:val="false"/>
          <w:sz w:val="20"/>
        </w:rPr>
        <w: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515" w:type="dxa"/>
        <w:jc w:val="left"/>
        <w:tblInd w:w="0" w:type="dxa"/>
        <w:tblLayout w:type="fixed"/>
        <w:tblCellMar>
          <w:top w:w="28" w:type="dxa"/>
          <w:left w:w="28" w:type="dxa"/>
          <w:bottom w:w="28" w:type="dxa"/>
          <w:right w:w="0" w:type="dxa"/>
        </w:tblCellMar>
      </w:tblPr>
      <w:tblGrid>
        <w:gridCol w:w="2390"/>
        <w:gridCol w:w="1535"/>
        <w:gridCol w:w="3590"/>
      </w:tblGrid>
      <w:tr>
        <w:trPr/>
        <w:tc>
          <w:tcPr>
            <w:tcW w:w="2390"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Title of each class</w:t>
            </w:r>
          </w:p>
        </w:tc>
        <w:tc>
          <w:tcPr>
            <w:tcW w:w="1535"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Trading Symbol(s)</w:t>
            </w:r>
          </w:p>
        </w:tc>
        <w:tc>
          <w:tcPr>
            <w:tcW w:w="3590" w:type="dxa"/>
            <w:tcBorders>
              <w:top w:val="single" w:sz="6" w:space="0" w:color="000000"/>
              <w:left w:val="single" w:sz="6" w:space="0" w:color="000000"/>
              <w:bottom w:val="single" w:sz="6" w:space="0" w:color="000000"/>
              <w:right w:val="single" w:sz="6" w:space="0" w:color="000000"/>
            </w:tcBorders>
            <w:tcMar>
              <w:right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Name of each exchange on which registered</w:t>
            </w:r>
          </w:p>
        </w:tc>
      </w:tr>
      <w:tr>
        <w:trPr/>
        <w:tc>
          <w:tcPr>
            <w:tcW w:w="239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no par value</w:t>
            </w:r>
          </w:p>
        </w:tc>
        <w:tc>
          <w:tcPr>
            <w:tcW w:w="153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XBIT</w:t>
            </w:r>
          </w:p>
        </w:tc>
        <w:tc>
          <w:tcPr>
            <w:tcW w:w="3590"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640" w:type="dxa"/>
        <w:jc w:val="left"/>
        <w:tblInd w:w="0" w:type="dxa"/>
        <w:tblLayout w:type="fixed"/>
        <w:tblCellMar>
          <w:top w:w="0" w:type="dxa"/>
          <w:left w:w="0" w:type="dxa"/>
          <w:bottom w:w="0" w:type="dxa"/>
          <w:right w:w="0" w:type="dxa"/>
        </w:tblCellMar>
      </w:tblPr>
      <w:tblGrid>
        <w:gridCol w:w="1820"/>
        <w:gridCol w:w="230"/>
        <w:gridCol w:w="60"/>
        <w:gridCol w:w="2300"/>
        <w:gridCol w:w="230"/>
      </w:tblGrid>
      <w:tr>
        <w:trPr/>
        <w:tc>
          <w:tcPr>
            <w:tcW w:w="18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Large accelerated filer</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Accelerated filer</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18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Non-accelerated filer</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Smaller reporting company</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18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Emerging growth company•</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shell company (as defined in Rule 12b-2 of the Exchange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of August 13, 2026, there were 30,487,731 shares of the Registrant's common stock issued and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XBIOTECH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AND SIX MONTHS ENDED JUNE 30, 2026</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INDEX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61"/>
        <w:gridCol w:w="9413"/>
        <w:gridCol w:w="231"/>
      </w:tblGrid>
      <w:tr>
        <w:trPr/>
        <w:tc>
          <w:tcPr>
            <w:tcW w:w="10205" w:type="dxa"/>
            <w:gridSpan w:val="3"/>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u w:val="single"/>
              </w:rPr>
              <w:t>PART</w:t>
            </w:r>
            <w:r>
              <w:rPr>
                <w:rFonts w:ascii="Times New Roman" w:hAnsi="Times New Roman"/>
                <w:caps w:val="false"/>
                <w:smallCaps w:val="false"/>
                <w:sz w:val="20"/>
                <w:u w:val="single"/>
              </w:rPr>
              <w:t> </w:t>
            </w:r>
            <w:r>
              <w:rPr>
                <w:rFonts w:ascii="Times New Roman" w:hAnsi="Times New Roman"/>
                <w:b/>
                <w:caps w:val="false"/>
                <w:smallCaps w:val="false"/>
                <w:sz w:val="20"/>
                <w:u w:val="single"/>
              </w:rPr>
              <w:t>I</w:t>
            </w:r>
            <w:r>
              <w:rPr>
                <w:rFonts w:ascii="Times New Roman" w:hAnsi="Times New Roman"/>
                <w:caps w:val="false"/>
                <w:smallCaps w:val="false"/>
                <w:sz w:val="20"/>
                <w:u w:val="single"/>
              </w:rPr>
              <w:t>—</w:t>
            </w:r>
            <w:r>
              <w:rPr>
                <w:rFonts w:ascii="Times New Roman" w:hAnsi="Times New Roman"/>
                <w:b/>
                <w:caps w:val="false"/>
                <w:smallCaps w:val="false"/>
                <w:sz w:val="20"/>
                <w:u w:val="single"/>
              </w:rPr>
              <w:t>FINANCIAL INFORMATION</w:t>
            </w:r>
          </w:p>
        </w:tc>
      </w:tr>
      <w:tr>
        <w:trPr/>
        <w:tc>
          <w:tcPr>
            <w:tcW w:w="561" w:type="dxa"/>
            <w:tcBorders/>
            <w:vAlign w:val="center"/>
          </w:tcPr>
          <w:p>
            <w:pPr>
              <w:pStyle w:val="TableContents"/>
              <w:bidi w:val="0"/>
              <w:spacing w:before="0" w:after="0"/>
              <w:ind w:left="0" w:right="0" w:hanging="0"/>
              <w:jc w:val="left"/>
              <w:rPr/>
            </w:pPr>
            <w:hyperlink w:anchor="Item_1">
              <w:r>
                <w:rPr>
                  <w:rStyle w:val="InternetLink"/>
                  <w:rFonts w:ascii="Times New Roman" w:hAnsi="Times New Roman"/>
                  <w:caps w:val="false"/>
                  <w:smallCaps w:val="false"/>
                  <w:sz w:val="20"/>
                </w:rPr>
                <w:t>Item 1.</w:t>
              </w:r>
            </w:hyperlink>
          </w:p>
        </w:tc>
        <w:tc>
          <w:tcPr>
            <w:tcW w:w="9413" w:type="dxa"/>
            <w:tcBorders/>
            <w:vAlign w:val="center"/>
          </w:tcPr>
          <w:p>
            <w:pPr>
              <w:pStyle w:val="TableContents"/>
              <w:bidi w:val="0"/>
              <w:spacing w:before="0" w:after="0"/>
              <w:ind w:left="0" w:right="0" w:hanging="0"/>
              <w:jc w:val="left"/>
              <w:rPr/>
            </w:pPr>
            <w:hyperlink w:anchor="Item_1">
              <w:r>
                <w:rPr>
                  <w:rStyle w:val="InternetLink"/>
                  <w:rFonts w:ascii="Times New Roman" w:hAnsi="Times New Roman"/>
                  <w:caps w:val="false"/>
                  <w:smallCaps w:val="false"/>
                  <w:sz w:val="20"/>
                </w:rPr>
                <w:t>Condensed Consolidated Financial Statements</w:t>
              </w:r>
            </w:hyperlink>
          </w:p>
        </w:tc>
        <w:tc>
          <w:tcPr>
            <w:tcW w:w="231" w:type="dxa"/>
            <w:tcBorders/>
            <w:vAlign w:val="center"/>
          </w:tcPr>
          <w:p>
            <w:pPr>
              <w:pStyle w:val="TableContents"/>
              <w:bidi w:val="0"/>
              <w:spacing w:before="0" w:after="283"/>
              <w:jc w:val="left"/>
              <w:rPr/>
            </w:pPr>
            <w:r>
              <w:rPr/>
              <w:t> </w:t>
            </w:r>
          </w:p>
        </w:tc>
      </w:tr>
      <w:tr>
        <w:trPr/>
        <w:tc>
          <w:tcPr>
            <w:tcW w:w="561" w:type="dxa"/>
            <w:tcBorders/>
            <w:vAlign w:val="center"/>
          </w:tcPr>
          <w:p>
            <w:pPr>
              <w:pStyle w:val="TableContents"/>
              <w:bidi w:val="0"/>
              <w:spacing w:before="0" w:after="283"/>
              <w:jc w:val="left"/>
              <w:rPr/>
            </w:pPr>
            <w:r>
              <w:rPr/>
              <w:t> </w:t>
            </w:r>
          </w:p>
        </w:tc>
        <w:tc>
          <w:tcPr>
            <w:tcW w:w="9413" w:type="dxa"/>
            <w:tcBorders/>
            <w:vAlign w:val="center"/>
          </w:tcPr>
          <w:p>
            <w:pPr>
              <w:pStyle w:val="TableContents"/>
              <w:bidi w:val="0"/>
              <w:spacing w:before="0" w:after="0"/>
              <w:ind w:left="0" w:right="0" w:hanging="0"/>
              <w:jc w:val="left"/>
              <w:rPr/>
            </w:pPr>
            <w:hyperlink w:anchor="Condensed_Consolidated_Balance_Sheets">
              <w:r>
                <w:rPr>
                  <w:rStyle w:val="InternetLink"/>
                  <w:rFonts w:ascii="Times New Roman" w:hAnsi="Times New Roman"/>
                  <w:caps w:val="false"/>
                  <w:smallCaps w:val="false"/>
                  <w:sz w:val="20"/>
                </w:rPr>
                <w:t>Condensed Consolidated Balance Sheets as of June 30, 2026 (unaudited) and December 31, 2025</w:t>
              </w:r>
            </w:hyperlink>
          </w:p>
        </w:tc>
        <w:tc>
          <w:tcPr>
            <w:tcW w:w="231" w:type="dxa"/>
            <w:tcBorders/>
            <w:vAlign w:val="center"/>
          </w:tcPr>
          <w:p>
            <w:pPr>
              <w:pStyle w:val="TableContents"/>
              <w:bidi w:val="0"/>
              <w:spacing w:before="0" w:after="0"/>
              <w:ind w:left="0" w:right="0" w:hanging="0"/>
              <w:jc w:val="right"/>
              <w:rPr/>
            </w:pPr>
            <w:hyperlink w:anchor="Condensed_Consolidated_Balance_Sheets">
              <w:r>
                <w:rPr>
                  <w:rStyle w:val="InternetLink"/>
                  <w:rFonts w:ascii="Times New Roman" w:hAnsi="Times New Roman"/>
                  <w:caps w:val="false"/>
                  <w:smallCaps w:val="false"/>
                  <w:sz w:val="20"/>
                </w:rPr>
                <w:t>6</w:t>
              </w:r>
            </w:hyperlink>
          </w:p>
        </w:tc>
      </w:tr>
      <w:tr>
        <w:trPr/>
        <w:tc>
          <w:tcPr>
            <w:tcW w:w="561" w:type="dxa"/>
            <w:tcBorders/>
            <w:vAlign w:val="center"/>
          </w:tcPr>
          <w:p>
            <w:pPr>
              <w:pStyle w:val="TableContents"/>
              <w:bidi w:val="0"/>
              <w:spacing w:before="0" w:after="283"/>
              <w:jc w:val="left"/>
              <w:rPr/>
            </w:pPr>
            <w:r>
              <w:rPr/>
              <w:t> </w:t>
            </w:r>
          </w:p>
        </w:tc>
        <w:tc>
          <w:tcPr>
            <w:tcW w:w="9413" w:type="dxa"/>
            <w:tcBorders/>
            <w:vAlign w:val="center"/>
          </w:tcPr>
          <w:p>
            <w:pPr>
              <w:pStyle w:val="TableContents"/>
              <w:bidi w:val="0"/>
              <w:spacing w:before="0" w:after="0"/>
              <w:ind w:left="0" w:right="0" w:hanging="0"/>
              <w:jc w:val="left"/>
              <w:rPr/>
            </w:pPr>
            <w:hyperlink w:anchor="Condensed_Consolidated_Statements_of_Operations">
              <w:r>
                <w:rPr>
                  <w:rStyle w:val="InternetLink"/>
                  <w:rFonts w:ascii="Times New Roman" w:hAnsi="Times New Roman"/>
                  <w:caps w:val="false"/>
                  <w:smallCaps w:val="false"/>
                  <w:sz w:val="20"/>
                </w:rPr>
                <w:t>Condensed Consolidated Statements of Operations for the Three Months and Six Months Ended June 30, 2026 (unaudited) and 2025 (unaudited)</w:t>
              </w:r>
            </w:hyperlink>
          </w:p>
        </w:tc>
        <w:tc>
          <w:tcPr>
            <w:tcW w:w="231" w:type="dxa"/>
            <w:tcBorders/>
            <w:vAlign w:val="center"/>
          </w:tcPr>
          <w:p>
            <w:pPr>
              <w:pStyle w:val="TableContents"/>
              <w:bidi w:val="0"/>
              <w:spacing w:before="0" w:after="0"/>
              <w:ind w:left="0" w:right="0" w:hanging="0"/>
              <w:jc w:val="right"/>
              <w:rPr/>
            </w:pPr>
            <w:hyperlink w:anchor="Condensed_Consolidated_Statements_of_Operations">
              <w:r>
                <w:rPr>
                  <w:rStyle w:val="InternetLink"/>
                  <w:rFonts w:ascii="Times New Roman" w:hAnsi="Times New Roman"/>
                  <w:caps w:val="false"/>
                  <w:smallCaps w:val="false"/>
                  <w:sz w:val="20"/>
                </w:rPr>
                <w:t>7</w:t>
              </w:r>
            </w:hyperlink>
          </w:p>
        </w:tc>
      </w:tr>
      <w:tr>
        <w:trPr/>
        <w:tc>
          <w:tcPr>
            <w:tcW w:w="561" w:type="dxa"/>
            <w:tcBorders/>
            <w:vAlign w:val="center"/>
          </w:tcPr>
          <w:p>
            <w:pPr>
              <w:pStyle w:val="TableContents"/>
              <w:bidi w:val="0"/>
              <w:spacing w:before="0" w:after="283"/>
              <w:jc w:val="left"/>
              <w:rPr/>
            </w:pPr>
            <w:r>
              <w:rPr/>
              <w:t> </w:t>
            </w:r>
          </w:p>
        </w:tc>
        <w:tc>
          <w:tcPr>
            <w:tcW w:w="9413" w:type="dxa"/>
            <w:tcBorders/>
            <w:vAlign w:val="center"/>
          </w:tcPr>
          <w:p>
            <w:pPr>
              <w:pStyle w:val="TableContents"/>
              <w:bidi w:val="0"/>
              <w:spacing w:before="0" w:after="0"/>
              <w:ind w:left="0" w:right="0" w:hanging="0"/>
              <w:jc w:val="left"/>
              <w:rPr/>
            </w:pPr>
            <w:hyperlink w:anchor="Condensed_Consolidated_Statements_of_Shareholders_Equity">
              <w:r>
                <w:rPr>
                  <w:rStyle w:val="InternetLink"/>
                  <w:rFonts w:ascii="Times New Roman" w:hAnsi="Times New Roman"/>
                  <w:caps w:val="false"/>
                  <w:smallCaps w:val="false"/>
                  <w:sz w:val="20"/>
                </w:rPr>
                <w:t>Condensed Consolidated Statements of Shareholders’ Equity for the Three Months and Six Months Ended June 30, 2026 (unaudited) and 2025 (unaudited)</w:t>
              </w:r>
            </w:hyperlink>
          </w:p>
        </w:tc>
        <w:tc>
          <w:tcPr>
            <w:tcW w:w="231" w:type="dxa"/>
            <w:tcBorders/>
            <w:vAlign w:val="center"/>
          </w:tcPr>
          <w:p>
            <w:pPr>
              <w:pStyle w:val="TableContents"/>
              <w:bidi w:val="0"/>
              <w:spacing w:before="0" w:after="0"/>
              <w:ind w:left="0" w:right="0" w:hanging="0"/>
              <w:jc w:val="right"/>
              <w:rPr/>
            </w:pPr>
            <w:hyperlink w:anchor="Condensed_Consolidated_Statements_of_Shareholders_Equity">
              <w:r>
                <w:rPr>
                  <w:rStyle w:val="InternetLink"/>
                  <w:rFonts w:ascii="Times New Roman" w:hAnsi="Times New Roman"/>
                  <w:caps w:val="false"/>
                  <w:smallCaps w:val="false"/>
                  <w:sz w:val="20"/>
                </w:rPr>
                <w:t>8</w:t>
              </w:r>
            </w:hyperlink>
          </w:p>
        </w:tc>
      </w:tr>
      <w:tr>
        <w:trPr/>
        <w:tc>
          <w:tcPr>
            <w:tcW w:w="561" w:type="dxa"/>
            <w:tcBorders/>
            <w:vAlign w:val="center"/>
          </w:tcPr>
          <w:p>
            <w:pPr>
              <w:pStyle w:val="TableContents"/>
              <w:bidi w:val="0"/>
              <w:spacing w:before="0" w:after="283"/>
              <w:jc w:val="left"/>
              <w:rPr/>
            </w:pPr>
            <w:r>
              <w:rPr/>
              <w:t> </w:t>
            </w:r>
          </w:p>
        </w:tc>
        <w:tc>
          <w:tcPr>
            <w:tcW w:w="9413" w:type="dxa"/>
            <w:tcBorders/>
            <w:vAlign w:val="center"/>
          </w:tcPr>
          <w:p>
            <w:pPr>
              <w:pStyle w:val="TableContents"/>
              <w:bidi w:val="0"/>
              <w:spacing w:before="0" w:after="0"/>
              <w:ind w:left="0" w:right="0" w:hanging="0"/>
              <w:jc w:val="left"/>
              <w:rPr/>
            </w:pPr>
            <w:hyperlink w:anchor="Condensed_Consolidated_Statements_of_Cash_Flows">
              <w:r>
                <w:rPr>
                  <w:rStyle w:val="InternetLink"/>
                  <w:rFonts w:ascii="Times New Roman" w:hAnsi="Times New Roman"/>
                  <w:caps w:val="false"/>
                  <w:smallCaps w:val="false"/>
                  <w:sz w:val="20"/>
                </w:rPr>
                <w:t>Condensed Consolidated Statements of Cash Flows for the Six Months Ended June 30, 2026 (unaudited) and 2025 (unaudited)</w:t>
              </w:r>
            </w:hyperlink>
          </w:p>
        </w:tc>
        <w:tc>
          <w:tcPr>
            <w:tcW w:w="231" w:type="dxa"/>
            <w:tcBorders/>
            <w:vAlign w:val="center"/>
          </w:tcPr>
          <w:p>
            <w:pPr>
              <w:pStyle w:val="TableContents"/>
              <w:bidi w:val="0"/>
              <w:spacing w:before="0" w:after="0"/>
              <w:ind w:left="0" w:right="0" w:hanging="0"/>
              <w:jc w:val="right"/>
              <w:rPr/>
            </w:pPr>
            <w:hyperlink w:anchor="Condensed_Consolidated_Statements_of_Cash_Flows">
              <w:r>
                <w:rPr>
                  <w:rStyle w:val="InternetLink"/>
                  <w:rFonts w:ascii="Times New Roman" w:hAnsi="Times New Roman"/>
                  <w:caps w:val="false"/>
                  <w:smallCaps w:val="false"/>
                  <w:sz w:val="20"/>
                </w:rPr>
                <w:t>10</w:t>
              </w:r>
            </w:hyperlink>
          </w:p>
        </w:tc>
      </w:tr>
      <w:tr>
        <w:trPr/>
        <w:tc>
          <w:tcPr>
            <w:tcW w:w="561" w:type="dxa"/>
            <w:tcBorders/>
            <w:vAlign w:val="center"/>
          </w:tcPr>
          <w:p>
            <w:pPr>
              <w:pStyle w:val="TableContents"/>
              <w:bidi w:val="0"/>
              <w:spacing w:before="0" w:after="283"/>
              <w:jc w:val="left"/>
              <w:rPr/>
            </w:pPr>
            <w:r>
              <w:rPr/>
              <w:t> </w:t>
            </w:r>
          </w:p>
        </w:tc>
        <w:tc>
          <w:tcPr>
            <w:tcW w:w="9413" w:type="dxa"/>
            <w:tcBorders/>
            <w:vAlign w:val="center"/>
          </w:tcPr>
          <w:p>
            <w:pPr>
              <w:pStyle w:val="TableContents"/>
              <w:bidi w:val="0"/>
              <w:spacing w:before="0" w:after="0"/>
              <w:ind w:left="0" w:right="0" w:hanging="0"/>
              <w:jc w:val="left"/>
              <w:rPr/>
            </w:pPr>
            <w:hyperlink w:anchor="Notes_to_Condensed_Consolidated_Financial_Statements">
              <w:r>
                <w:rPr>
                  <w:rStyle w:val="InternetLink"/>
                  <w:rFonts w:ascii="Times New Roman" w:hAnsi="Times New Roman"/>
                  <w:caps w:val="false"/>
                  <w:smallCaps w:val="false"/>
                  <w:sz w:val="20"/>
                </w:rPr>
                <w:t>Notes to Condensed Consolidated Financial Statements (unaudited)</w:t>
              </w:r>
            </w:hyperlink>
          </w:p>
        </w:tc>
        <w:tc>
          <w:tcPr>
            <w:tcW w:w="231" w:type="dxa"/>
            <w:tcBorders/>
            <w:vAlign w:val="center"/>
          </w:tcPr>
          <w:p>
            <w:pPr>
              <w:pStyle w:val="TableContents"/>
              <w:bidi w:val="0"/>
              <w:spacing w:before="0" w:after="0"/>
              <w:ind w:left="0" w:right="0" w:hanging="0"/>
              <w:jc w:val="right"/>
              <w:rPr/>
            </w:pPr>
            <w:hyperlink w:anchor="Notes_to_Condensed_Consolidated_Financial_Statements">
              <w:r>
                <w:rPr>
                  <w:rStyle w:val="InternetLink"/>
                  <w:rFonts w:ascii="Times New Roman" w:hAnsi="Times New Roman"/>
                  <w:caps w:val="false"/>
                  <w:smallCaps w:val="false"/>
                  <w:sz w:val="20"/>
                </w:rPr>
                <w:t>11</w:t>
              </w:r>
            </w:hyperlink>
          </w:p>
        </w:tc>
      </w:tr>
      <w:tr>
        <w:trPr/>
        <w:tc>
          <w:tcPr>
            <w:tcW w:w="561" w:type="dxa"/>
            <w:tcBorders/>
            <w:vAlign w:val="center"/>
          </w:tcPr>
          <w:p>
            <w:pPr>
              <w:pStyle w:val="TableContents"/>
              <w:bidi w:val="0"/>
              <w:spacing w:before="0" w:after="0"/>
              <w:ind w:left="0" w:right="0" w:hanging="0"/>
              <w:jc w:val="left"/>
              <w:rPr/>
            </w:pPr>
            <w:hyperlink w:anchor="p1i2">
              <w:r>
                <w:rPr>
                  <w:rStyle w:val="InternetLink"/>
                  <w:rFonts w:ascii="Times New Roman" w:hAnsi="Times New Roman"/>
                  <w:caps w:val="false"/>
                  <w:smallCaps w:val="false"/>
                  <w:sz w:val="20"/>
                </w:rPr>
                <w:t>Item 2.</w:t>
              </w:r>
            </w:hyperlink>
          </w:p>
        </w:tc>
        <w:tc>
          <w:tcPr>
            <w:tcW w:w="9413" w:type="dxa"/>
            <w:tcBorders/>
            <w:vAlign w:val="center"/>
          </w:tcPr>
          <w:p>
            <w:pPr>
              <w:pStyle w:val="TableContents"/>
              <w:bidi w:val="0"/>
              <w:spacing w:before="0" w:after="0"/>
              <w:ind w:left="0" w:right="0" w:hanging="0"/>
              <w:jc w:val="left"/>
              <w:rPr/>
            </w:pPr>
            <w:hyperlink w:anchor="p1i2">
              <w:r>
                <w:rPr>
                  <w:rStyle w:val="InternetLink"/>
                  <w:rFonts w:ascii="Times New Roman" w:hAnsi="Times New Roman"/>
                  <w:caps w:val="false"/>
                  <w:smallCaps w:val="false"/>
                  <w:sz w:val="20"/>
                </w:rPr>
                <w:t>Management’s Discussion and Analysis of Financial Condition and Results of Operations</w:t>
              </w:r>
            </w:hyperlink>
          </w:p>
        </w:tc>
        <w:tc>
          <w:tcPr>
            <w:tcW w:w="231" w:type="dxa"/>
            <w:tcBorders/>
            <w:vAlign w:val="center"/>
          </w:tcPr>
          <w:p>
            <w:pPr>
              <w:pStyle w:val="TableContents"/>
              <w:bidi w:val="0"/>
              <w:spacing w:before="0" w:after="0"/>
              <w:ind w:left="0" w:right="0" w:hanging="0"/>
              <w:jc w:val="right"/>
              <w:rPr/>
            </w:pPr>
            <w:hyperlink w:anchor="p1i2">
              <w:r>
                <w:rPr>
                  <w:rStyle w:val="InternetLink"/>
                  <w:rFonts w:ascii="Times New Roman" w:hAnsi="Times New Roman"/>
                  <w:caps w:val="false"/>
                  <w:smallCaps w:val="false"/>
                  <w:sz w:val="20"/>
                </w:rPr>
                <w:t>18</w:t>
              </w:r>
            </w:hyperlink>
          </w:p>
        </w:tc>
      </w:tr>
      <w:tr>
        <w:trPr/>
        <w:tc>
          <w:tcPr>
            <w:tcW w:w="561" w:type="dxa"/>
            <w:tcBorders/>
            <w:vAlign w:val="center"/>
          </w:tcPr>
          <w:p>
            <w:pPr>
              <w:pStyle w:val="TableContents"/>
              <w:bidi w:val="0"/>
              <w:spacing w:before="0" w:after="0"/>
              <w:ind w:left="0" w:right="0" w:hanging="0"/>
              <w:jc w:val="left"/>
              <w:rPr/>
            </w:pPr>
            <w:hyperlink w:anchor="p1i3">
              <w:r>
                <w:rPr>
                  <w:rStyle w:val="InternetLink"/>
                  <w:rFonts w:ascii="Times New Roman" w:hAnsi="Times New Roman"/>
                  <w:caps w:val="false"/>
                  <w:smallCaps w:val="false"/>
                  <w:sz w:val="20"/>
                </w:rPr>
                <w:t>Item 3.</w:t>
              </w:r>
            </w:hyperlink>
          </w:p>
        </w:tc>
        <w:tc>
          <w:tcPr>
            <w:tcW w:w="9413" w:type="dxa"/>
            <w:tcBorders/>
            <w:vAlign w:val="center"/>
          </w:tcPr>
          <w:p>
            <w:pPr>
              <w:pStyle w:val="TableContents"/>
              <w:bidi w:val="0"/>
              <w:spacing w:before="0" w:after="0"/>
              <w:ind w:left="0" w:right="0" w:hanging="0"/>
              <w:jc w:val="left"/>
              <w:rPr/>
            </w:pPr>
            <w:hyperlink w:anchor="p1i3">
              <w:r>
                <w:rPr>
                  <w:rStyle w:val="InternetLink"/>
                  <w:rFonts w:ascii="Times New Roman" w:hAnsi="Times New Roman"/>
                  <w:caps w:val="false"/>
                  <w:smallCaps w:val="false"/>
                  <w:sz w:val="20"/>
                </w:rPr>
                <w:t>Quantitative and Qualitative Disclosures About Market Risk</w:t>
              </w:r>
            </w:hyperlink>
          </w:p>
        </w:tc>
        <w:tc>
          <w:tcPr>
            <w:tcW w:w="231" w:type="dxa"/>
            <w:tcBorders/>
            <w:vAlign w:val="center"/>
          </w:tcPr>
          <w:p>
            <w:pPr>
              <w:pStyle w:val="TableContents"/>
              <w:bidi w:val="0"/>
              <w:spacing w:before="0" w:after="0"/>
              <w:ind w:left="0" w:right="0" w:hanging="0"/>
              <w:jc w:val="right"/>
              <w:rPr/>
            </w:pPr>
            <w:hyperlink w:anchor="p1i3">
              <w:r>
                <w:rPr>
                  <w:rStyle w:val="InternetLink"/>
                  <w:rFonts w:ascii="Times New Roman" w:hAnsi="Times New Roman"/>
                  <w:caps w:val="false"/>
                  <w:smallCaps w:val="false"/>
                  <w:sz w:val="20"/>
                </w:rPr>
                <w:t>23</w:t>
              </w:r>
            </w:hyperlink>
          </w:p>
        </w:tc>
      </w:tr>
      <w:tr>
        <w:trPr/>
        <w:tc>
          <w:tcPr>
            <w:tcW w:w="561" w:type="dxa"/>
            <w:tcBorders/>
            <w:vAlign w:val="center"/>
          </w:tcPr>
          <w:p>
            <w:pPr>
              <w:pStyle w:val="TableContents"/>
              <w:bidi w:val="0"/>
              <w:spacing w:before="0" w:after="0"/>
              <w:ind w:left="0" w:right="0" w:hanging="0"/>
              <w:jc w:val="left"/>
              <w:rPr/>
            </w:pPr>
            <w:hyperlink w:anchor="p1i4">
              <w:r>
                <w:rPr>
                  <w:rStyle w:val="InternetLink"/>
                  <w:rFonts w:ascii="Times New Roman" w:hAnsi="Times New Roman"/>
                  <w:caps w:val="false"/>
                  <w:smallCaps w:val="false"/>
                  <w:sz w:val="20"/>
                </w:rPr>
                <w:t>Item 4.</w:t>
              </w:r>
            </w:hyperlink>
          </w:p>
        </w:tc>
        <w:tc>
          <w:tcPr>
            <w:tcW w:w="9413" w:type="dxa"/>
            <w:tcBorders/>
            <w:vAlign w:val="center"/>
          </w:tcPr>
          <w:p>
            <w:pPr>
              <w:pStyle w:val="TableContents"/>
              <w:bidi w:val="0"/>
              <w:spacing w:before="0" w:after="0"/>
              <w:ind w:left="0" w:right="0" w:hanging="0"/>
              <w:jc w:val="left"/>
              <w:rPr/>
            </w:pPr>
            <w:hyperlink w:anchor="p1i4">
              <w:r>
                <w:rPr>
                  <w:rStyle w:val="InternetLink"/>
                  <w:rFonts w:ascii="Times New Roman" w:hAnsi="Times New Roman"/>
                  <w:caps w:val="false"/>
                  <w:smallCaps w:val="false"/>
                  <w:sz w:val="20"/>
                </w:rPr>
                <w:t>Controls and Procedures</w:t>
              </w:r>
            </w:hyperlink>
          </w:p>
        </w:tc>
        <w:tc>
          <w:tcPr>
            <w:tcW w:w="231" w:type="dxa"/>
            <w:tcBorders/>
            <w:vAlign w:val="center"/>
          </w:tcPr>
          <w:p>
            <w:pPr>
              <w:pStyle w:val="TableContents"/>
              <w:bidi w:val="0"/>
              <w:spacing w:before="0" w:after="0"/>
              <w:ind w:left="0" w:right="0" w:hanging="0"/>
              <w:jc w:val="right"/>
              <w:rPr/>
            </w:pPr>
            <w:hyperlink w:anchor="p1i4">
              <w:r>
                <w:rPr>
                  <w:rStyle w:val="InternetLink"/>
                  <w:rFonts w:ascii="Times New Roman" w:hAnsi="Times New Roman"/>
                  <w:caps w:val="false"/>
                  <w:smallCaps w:val="false"/>
                  <w:sz w:val="20"/>
                </w:rPr>
                <w:t>23</w:t>
              </w:r>
            </w:hyperlink>
          </w:p>
        </w:tc>
      </w:tr>
      <w:tr>
        <w:trPr/>
        <w:tc>
          <w:tcPr>
            <w:tcW w:w="10205" w:type="dxa"/>
            <w:gridSpan w:val="3"/>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u w:val="single"/>
              </w:rPr>
              <w:t>PART</w:t>
            </w:r>
            <w:r>
              <w:rPr>
                <w:rFonts w:ascii="Times New Roman" w:hAnsi="Times New Roman"/>
                <w:caps w:val="false"/>
                <w:smallCaps w:val="false"/>
                <w:sz w:val="20"/>
                <w:u w:val="single"/>
              </w:rPr>
              <w:t> </w:t>
            </w:r>
            <w:r>
              <w:rPr>
                <w:rFonts w:ascii="Times New Roman" w:hAnsi="Times New Roman"/>
                <w:b/>
                <w:caps w:val="false"/>
                <w:smallCaps w:val="false"/>
                <w:sz w:val="20"/>
                <w:u w:val="single"/>
              </w:rPr>
              <w:t>II</w:t>
            </w:r>
            <w:r>
              <w:rPr>
                <w:rFonts w:ascii="Times New Roman" w:hAnsi="Times New Roman"/>
                <w:caps w:val="false"/>
                <w:smallCaps w:val="false"/>
                <w:sz w:val="20"/>
                <w:u w:val="single"/>
              </w:rPr>
              <w:t>—</w:t>
            </w:r>
            <w:r>
              <w:rPr>
                <w:rFonts w:ascii="Times New Roman" w:hAnsi="Times New Roman"/>
                <w:b/>
                <w:caps w:val="false"/>
                <w:smallCaps w:val="false"/>
                <w:sz w:val="20"/>
                <w:u w:val="single"/>
              </w:rPr>
              <w:t>OTHER INFORMATION</w:t>
            </w:r>
          </w:p>
        </w:tc>
      </w:tr>
      <w:tr>
        <w:trPr/>
        <w:tc>
          <w:tcPr>
            <w:tcW w:w="561" w:type="dxa"/>
            <w:tcBorders/>
            <w:vAlign w:val="center"/>
          </w:tcPr>
          <w:p>
            <w:pPr>
              <w:pStyle w:val="TableContents"/>
              <w:bidi w:val="0"/>
              <w:spacing w:before="0" w:after="0"/>
              <w:ind w:left="0" w:right="0" w:hanging="0"/>
              <w:jc w:val="left"/>
              <w:rPr/>
            </w:pPr>
            <w:hyperlink w:anchor="p2i1">
              <w:r>
                <w:rPr>
                  <w:rStyle w:val="InternetLink"/>
                  <w:rFonts w:ascii="Times New Roman" w:hAnsi="Times New Roman"/>
                  <w:caps w:val="false"/>
                  <w:smallCaps w:val="false"/>
                  <w:sz w:val="20"/>
                </w:rPr>
                <w:t>Item 1.</w:t>
              </w:r>
            </w:hyperlink>
          </w:p>
        </w:tc>
        <w:tc>
          <w:tcPr>
            <w:tcW w:w="9413" w:type="dxa"/>
            <w:tcBorders/>
            <w:vAlign w:val="center"/>
          </w:tcPr>
          <w:p>
            <w:pPr>
              <w:pStyle w:val="TableContents"/>
              <w:bidi w:val="0"/>
              <w:spacing w:before="0" w:after="0"/>
              <w:ind w:left="0" w:right="0" w:hanging="0"/>
              <w:jc w:val="left"/>
              <w:rPr/>
            </w:pPr>
            <w:hyperlink w:anchor="p2i1">
              <w:r>
                <w:rPr>
                  <w:rStyle w:val="InternetLink"/>
                  <w:rFonts w:ascii="Times New Roman" w:hAnsi="Times New Roman"/>
                  <w:caps w:val="false"/>
                  <w:smallCaps w:val="false"/>
                  <w:sz w:val="20"/>
                </w:rPr>
                <w:t>Risk Factors</w:t>
              </w:r>
            </w:hyperlink>
          </w:p>
        </w:tc>
        <w:tc>
          <w:tcPr>
            <w:tcW w:w="231" w:type="dxa"/>
            <w:tcBorders/>
            <w:vAlign w:val="center"/>
          </w:tcPr>
          <w:p>
            <w:pPr>
              <w:pStyle w:val="TableContents"/>
              <w:bidi w:val="0"/>
              <w:spacing w:before="0" w:after="0"/>
              <w:ind w:left="0" w:right="0" w:hanging="0"/>
              <w:jc w:val="right"/>
              <w:rPr/>
            </w:pPr>
            <w:hyperlink w:anchor="p2i1">
              <w:r>
                <w:rPr>
                  <w:rStyle w:val="InternetLink"/>
                  <w:rFonts w:ascii="Times New Roman" w:hAnsi="Times New Roman"/>
                  <w:caps w:val="false"/>
                  <w:smallCaps w:val="false"/>
                  <w:sz w:val="20"/>
                </w:rPr>
                <w:t>25</w:t>
              </w:r>
            </w:hyperlink>
          </w:p>
        </w:tc>
      </w:tr>
      <w:tr>
        <w:trPr/>
        <w:tc>
          <w:tcPr>
            <w:tcW w:w="561" w:type="dxa"/>
            <w:tcBorders/>
            <w:vAlign w:val="center"/>
          </w:tcPr>
          <w:p>
            <w:pPr>
              <w:pStyle w:val="TableContents"/>
              <w:bidi w:val="0"/>
              <w:spacing w:before="0" w:after="0"/>
              <w:ind w:left="0" w:right="0" w:hanging="0"/>
              <w:jc w:val="left"/>
              <w:rPr/>
            </w:pPr>
            <w:hyperlink w:anchor="p2i2">
              <w:r>
                <w:rPr>
                  <w:rStyle w:val="InternetLink"/>
                  <w:rFonts w:ascii="Times New Roman" w:hAnsi="Times New Roman"/>
                  <w:caps w:val="false"/>
                  <w:smallCaps w:val="false"/>
                  <w:sz w:val="20"/>
                </w:rPr>
                <w:t>Item 2.</w:t>
              </w:r>
            </w:hyperlink>
          </w:p>
        </w:tc>
        <w:tc>
          <w:tcPr>
            <w:tcW w:w="9413" w:type="dxa"/>
            <w:tcBorders/>
            <w:vAlign w:val="center"/>
          </w:tcPr>
          <w:p>
            <w:pPr>
              <w:pStyle w:val="TableContents"/>
              <w:bidi w:val="0"/>
              <w:spacing w:before="0" w:after="0"/>
              <w:ind w:left="0" w:right="0" w:hanging="0"/>
              <w:jc w:val="left"/>
              <w:rPr/>
            </w:pPr>
            <w:hyperlink w:anchor="p2i2">
              <w:r>
                <w:rPr>
                  <w:rStyle w:val="InternetLink"/>
                  <w:rFonts w:ascii="Times New Roman" w:hAnsi="Times New Roman"/>
                  <w:caps w:val="false"/>
                  <w:smallCaps w:val="false"/>
                  <w:sz w:val="20"/>
                </w:rPr>
                <w:t>Unregistered Sales of Equity Securities and Use of Proceeds</w:t>
              </w:r>
            </w:hyperlink>
          </w:p>
        </w:tc>
        <w:tc>
          <w:tcPr>
            <w:tcW w:w="231" w:type="dxa"/>
            <w:tcBorders/>
            <w:vAlign w:val="center"/>
          </w:tcPr>
          <w:p>
            <w:pPr>
              <w:pStyle w:val="TableContents"/>
              <w:bidi w:val="0"/>
              <w:spacing w:before="0" w:after="0"/>
              <w:ind w:left="0" w:right="0" w:hanging="0"/>
              <w:jc w:val="right"/>
              <w:rPr/>
            </w:pPr>
            <w:hyperlink w:anchor="p2i2">
              <w:r>
                <w:rPr>
                  <w:rStyle w:val="InternetLink"/>
                  <w:rFonts w:ascii="Times New Roman" w:hAnsi="Times New Roman"/>
                  <w:caps w:val="false"/>
                  <w:smallCaps w:val="false"/>
                  <w:sz w:val="20"/>
                </w:rPr>
                <w:t>25</w:t>
              </w:r>
            </w:hyperlink>
          </w:p>
        </w:tc>
      </w:tr>
      <w:tr>
        <w:trPr/>
        <w:tc>
          <w:tcPr>
            <w:tcW w:w="561" w:type="dxa"/>
            <w:tcBorders/>
            <w:vAlign w:val="center"/>
          </w:tcPr>
          <w:p>
            <w:pPr>
              <w:pStyle w:val="TableContents"/>
              <w:bidi w:val="0"/>
              <w:spacing w:before="0" w:after="0"/>
              <w:ind w:left="0" w:right="0" w:hanging="0"/>
              <w:jc w:val="left"/>
              <w:rPr/>
            </w:pPr>
            <w:hyperlink w:anchor="p2i3">
              <w:r>
                <w:rPr>
                  <w:rStyle w:val="InternetLink"/>
                  <w:rFonts w:ascii="Times New Roman" w:hAnsi="Times New Roman"/>
                  <w:caps w:val="false"/>
                  <w:smallCaps w:val="false"/>
                  <w:sz w:val="20"/>
                </w:rPr>
                <w:t>Item 3.</w:t>
              </w:r>
            </w:hyperlink>
          </w:p>
        </w:tc>
        <w:tc>
          <w:tcPr>
            <w:tcW w:w="9413" w:type="dxa"/>
            <w:tcBorders/>
            <w:vAlign w:val="center"/>
          </w:tcPr>
          <w:p>
            <w:pPr>
              <w:pStyle w:val="TableContents"/>
              <w:bidi w:val="0"/>
              <w:spacing w:before="0" w:after="0"/>
              <w:ind w:left="0" w:right="0" w:hanging="0"/>
              <w:jc w:val="left"/>
              <w:rPr/>
            </w:pPr>
            <w:hyperlink w:anchor="p2i3">
              <w:r>
                <w:rPr>
                  <w:rStyle w:val="InternetLink"/>
                  <w:rFonts w:ascii="Times New Roman" w:hAnsi="Times New Roman"/>
                  <w:caps w:val="false"/>
                  <w:smallCaps w:val="false"/>
                  <w:sz w:val="20"/>
                </w:rPr>
                <w:t>Defaults Upon Senior Securities</w:t>
              </w:r>
            </w:hyperlink>
          </w:p>
        </w:tc>
        <w:tc>
          <w:tcPr>
            <w:tcW w:w="231" w:type="dxa"/>
            <w:tcBorders/>
            <w:vAlign w:val="center"/>
          </w:tcPr>
          <w:p>
            <w:pPr>
              <w:pStyle w:val="TableContents"/>
              <w:bidi w:val="0"/>
              <w:spacing w:before="0" w:after="0"/>
              <w:ind w:left="0" w:right="0" w:hanging="0"/>
              <w:jc w:val="right"/>
              <w:rPr/>
            </w:pPr>
            <w:hyperlink w:anchor="p2i3">
              <w:r>
                <w:rPr>
                  <w:rStyle w:val="InternetLink"/>
                  <w:rFonts w:ascii="Times New Roman" w:hAnsi="Times New Roman"/>
                  <w:caps w:val="false"/>
                  <w:smallCaps w:val="false"/>
                  <w:sz w:val="20"/>
                </w:rPr>
                <w:t>25</w:t>
              </w:r>
            </w:hyperlink>
          </w:p>
        </w:tc>
      </w:tr>
      <w:tr>
        <w:trPr/>
        <w:tc>
          <w:tcPr>
            <w:tcW w:w="561" w:type="dxa"/>
            <w:tcBorders/>
            <w:vAlign w:val="center"/>
          </w:tcPr>
          <w:p>
            <w:pPr>
              <w:pStyle w:val="TableContents"/>
              <w:bidi w:val="0"/>
              <w:spacing w:before="0" w:after="0"/>
              <w:ind w:left="0" w:right="0" w:hanging="0"/>
              <w:jc w:val="left"/>
              <w:rPr/>
            </w:pPr>
            <w:hyperlink w:anchor="p2i4">
              <w:r>
                <w:rPr>
                  <w:rStyle w:val="InternetLink"/>
                  <w:rFonts w:ascii="Times New Roman" w:hAnsi="Times New Roman"/>
                  <w:caps w:val="false"/>
                  <w:smallCaps w:val="false"/>
                  <w:sz w:val="20"/>
                </w:rPr>
                <w:t>Item 4.</w:t>
              </w:r>
            </w:hyperlink>
          </w:p>
        </w:tc>
        <w:tc>
          <w:tcPr>
            <w:tcW w:w="9413" w:type="dxa"/>
            <w:tcBorders/>
            <w:vAlign w:val="center"/>
          </w:tcPr>
          <w:p>
            <w:pPr>
              <w:pStyle w:val="TableContents"/>
              <w:bidi w:val="0"/>
              <w:spacing w:before="0" w:after="0"/>
              <w:ind w:left="0" w:right="0" w:hanging="0"/>
              <w:jc w:val="left"/>
              <w:rPr/>
            </w:pPr>
            <w:hyperlink w:anchor="p2i4">
              <w:r>
                <w:rPr>
                  <w:rStyle w:val="InternetLink"/>
                  <w:rFonts w:ascii="Times New Roman" w:hAnsi="Times New Roman"/>
                  <w:caps w:val="false"/>
                  <w:smallCaps w:val="false"/>
                  <w:sz w:val="20"/>
                </w:rPr>
                <w:t>Mine Safety Disclosures</w:t>
              </w:r>
            </w:hyperlink>
          </w:p>
        </w:tc>
        <w:tc>
          <w:tcPr>
            <w:tcW w:w="231" w:type="dxa"/>
            <w:tcBorders/>
            <w:vAlign w:val="center"/>
          </w:tcPr>
          <w:p>
            <w:pPr>
              <w:pStyle w:val="TableContents"/>
              <w:bidi w:val="0"/>
              <w:spacing w:before="0" w:after="0"/>
              <w:ind w:left="0" w:right="0" w:hanging="0"/>
              <w:jc w:val="right"/>
              <w:rPr/>
            </w:pPr>
            <w:hyperlink w:anchor="p2i4">
              <w:r>
                <w:rPr>
                  <w:rStyle w:val="InternetLink"/>
                  <w:rFonts w:ascii="Times New Roman" w:hAnsi="Times New Roman"/>
                  <w:caps w:val="false"/>
                  <w:smallCaps w:val="false"/>
                  <w:sz w:val="20"/>
                </w:rPr>
                <w:t>25</w:t>
              </w:r>
            </w:hyperlink>
          </w:p>
        </w:tc>
      </w:tr>
      <w:tr>
        <w:trPr/>
        <w:tc>
          <w:tcPr>
            <w:tcW w:w="561" w:type="dxa"/>
            <w:tcBorders/>
            <w:vAlign w:val="center"/>
          </w:tcPr>
          <w:p>
            <w:pPr>
              <w:pStyle w:val="TableContents"/>
              <w:bidi w:val="0"/>
              <w:spacing w:before="0" w:after="0"/>
              <w:ind w:left="0" w:right="0" w:hanging="0"/>
              <w:jc w:val="left"/>
              <w:rPr/>
            </w:pPr>
            <w:hyperlink w:anchor="p2i5">
              <w:r>
                <w:rPr>
                  <w:rStyle w:val="InternetLink"/>
                  <w:rFonts w:ascii="Times New Roman" w:hAnsi="Times New Roman"/>
                  <w:caps w:val="false"/>
                  <w:smallCaps w:val="false"/>
                  <w:sz w:val="20"/>
                </w:rPr>
                <w:t>Item 5.</w:t>
              </w:r>
            </w:hyperlink>
          </w:p>
        </w:tc>
        <w:tc>
          <w:tcPr>
            <w:tcW w:w="9413" w:type="dxa"/>
            <w:tcBorders/>
            <w:vAlign w:val="center"/>
          </w:tcPr>
          <w:p>
            <w:pPr>
              <w:pStyle w:val="TableContents"/>
              <w:bidi w:val="0"/>
              <w:spacing w:before="0" w:after="0"/>
              <w:ind w:left="0" w:right="0" w:hanging="0"/>
              <w:jc w:val="left"/>
              <w:rPr/>
            </w:pPr>
            <w:hyperlink w:anchor="p2i5">
              <w:r>
                <w:rPr>
                  <w:rStyle w:val="InternetLink"/>
                  <w:rFonts w:ascii="Times New Roman" w:hAnsi="Times New Roman"/>
                  <w:caps w:val="false"/>
                  <w:smallCaps w:val="false"/>
                  <w:sz w:val="20"/>
                </w:rPr>
                <w:t>Other Information</w:t>
              </w:r>
            </w:hyperlink>
          </w:p>
        </w:tc>
        <w:tc>
          <w:tcPr>
            <w:tcW w:w="231" w:type="dxa"/>
            <w:tcBorders/>
            <w:vAlign w:val="center"/>
          </w:tcPr>
          <w:p>
            <w:pPr>
              <w:pStyle w:val="TableContents"/>
              <w:bidi w:val="0"/>
              <w:spacing w:before="0" w:after="0"/>
              <w:ind w:left="0" w:right="0" w:hanging="0"/>
              <w:jc w:val="right"/>
              <w:rPr/>
            </w:pPr>
            <w:hyperlink w:anchor="p2i5">
              <w:r>
                <w:rPr>
                  <w:rStyle w:val="InternetLink"/>
                  <w:rFonts w:ascii="Times New Roman" w:hAnsi="Times New Roman"/>
                  <w:caps w:val="false"/>
                  <w:smallCaps w:val="false"/>
                  <w:sz w:val="20"/>
                </w:rPr>
                <w:t>25</w:t>
              </w:r>
            </w:hyperlink>
          </w:p>
        </w:tc>
      </w:tr>
      <w:tr>
        <w:trPr/>
        <w:tc>
          <w:tcPr>
            <w:tcW w:w="561" w:type="dxa"/>
            <w:tcBorders/>
            <w:vAlign w:val="center"/>
          </w:tcPr>
          <w:p>
            <w:pPr>
              <w:pStyle w:val="TableContents"/>
              <w:bidi w:val="0"/>
              <w:spacing w:before="0" w:after="0"/>
              <w:ind w:left="0" w:right="0" w:hanging="0"/>
              <w:jc w:val="left"/>
              <w:rPr/>
            </w:pPr>
            <w:hyperlink w:anchor="p2i6">
              <w:r>
                <w:rPr>
                  <w:rStyle w:val="InternetLink"/>
                  <w:rFonts w:ascii="Times New Roman" w:hAnsi="Times New Roman"/>
                  <w:caps w:val="false"/>
                  <w:smallCaps w:val="false"/>
                  <w:sz w:val="20"/>
                </w:rPr>
                <w:t>Item 6.</w:t>
              </w:r>
            </w:hyperlink>
          </w:p>
        </w:tc>
        <w:tc>
          <w:tcPr>
            <w:tcW w:w="9413" w:type="dxa"/>
            <w:tcBorders/>
            <w:vAlign w:val="center"/>
          </w:tcPr>
          <w:p>
            <w:pPr>
              <w:pStyle w:val="TableContents"/>
              <w:bidi w:val="0"/>
              <w:spacing w:before="0" w:after="0"/>
              <w:ind w:left="0" w:right="0" w:hanging="0"/>
              <w:jc w:val="left"/>
              <w:rPr/>
            </w:pPr>
            <w:hyperlink w:anchor="p2i6">
              <w:r>
                <w:rPr>
                  <w:rStyle w:val="InternetLink"/>
                  <w:rFonts w:ascii="Times New Roman" w:hAnsi="Times New Roman"/>
                  <w:caps w:val="false"/>
                  <w:smallCaps w:val="false"/>
                  <w:sz w:val="20"/>
                </w:rPr>
                <w:t>Exhibits</w:t>
              </w:r>
            </w:hyperlink>
          </w:p>
        </w:tc>
        <w:tc>
          <w:tcPr>
            <w:tcW w:w="231" w:type="dxa"/>
            <w:tcBorders/>
            <w:vAlign w:val="center"/>
          </w:tcPr>
          <w:p>
            <w:pPr>
              <w:pStyle w:val="TableContents"/>
              <w:bidi w:val="0"/>
              <w:spacing w:before="0" w:after="0"/>
              <w:ind w:left="0" w:right="0" w:hanging="0"/>
              <w:jc w:val="right"/>
              <w:rPr/>
            </w:pPr>
            <w:hyperlink w:anchor="p2i6">
              <w:r>
                <w:rPr>
                  <w:rStyle w:val="InternetLink"/>
                  <w:rFonts w:ascii="Times New Roman" w:hAnsi="Times New Roman"/>
                  <w:caps w:val="false"/>
                  <w:smallCaps w:val="false"/>
                  <w:sz w:val="20"/>
                </w:rPr>
                <w:t>25</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hyperlink w:anchor="SIGNATURES">
        <w:r>
          <w:rPr>
            <w:rStyle w:val="InternetLink"/>
            <w:rFonts w:ascii="Times New Roman" w:hAnsi="Times New Roman"/>
            <w:caps w:val="false"/>
            <w:smallCaps w:val="false"/>
            <w:sz w:val="20"/>
          </w:rPr>
          <w:t>SIGNATURES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CAUTIONARY STATEMENTS REGARDING FORWARD-LOOKING STATEMENTS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20"/>
        <w:jc w:val="left"/>
        <w:rPr>
          <w:rFonts w:ascii="Times New Roman" w:hAnsi="Times New Roman"/>
          <w:caps w:val="false"/>
          <w:smallCaps w:val="false"/>
          <w:sz w:val="20"/>
        </w:rPr>
      </w:pPr>
      <w:r>
        <w:rPr>
          <w:rFonts w:ascii="Times New Roman" w:hAnsi="Times New Roman"/>
          <w:caps w:val="false"/>
          <w:smallCaps w:val="false"/>
          <w:sz w:val="20"/>
        </w:rPr>
        <w:t>This Quarterly Report on Form 10-Q contains forward-looking statements, which reflect our current views with respect to, among other things, our operations and financial performance. All statements other than statements of historical facts contained in this Quarterly Report on Form 10-Q are forward-looking statements. You can identify forward-looking statements by terminology such as “may,” “will,” “should,” “would,” “could,” “expects,” “plans,” “contemplate,” “anticipates,” “believes,” “estimates,” “predicts,” “projects,” “intend” or “continue” or the negative of such terms or other comparable terminology, although not all forward-looking statements contain these identifying words. Forward-looking statements are subject to inherent risks and uncertainties in predicting future results and conditions that could cause the actual results to differ materially from those projected in these forward-looking statements. These forward-looking statements include, but are not limited to statements about: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our ability to obtain regulatory approval to market and sell our product candidates in the United States, Europe and elsewhere;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the initiation, timing, cost, progress and success of our research and development programs, preclinical studies and clinical trials for our product candidates;</w:t>
            </w:r>
          </w:p>
        </w:tc>
      </w:tr>
    </w:tbl>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60"/>
        <w:gridCol w:w="170"/>
        <w:gridCol w:w="73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310"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our ability to advance product candidates into, and successfully complete, clinical trials;</w:t>
            </w:r>
          </w:p>
        </w:tc>
      </w:tr>
    </w:tbl>
    <w:p>
      <w:pPr>
        <w:pStyle w:val="TextBody"/>
        <w:bidi w:val="0"/>
        <w:spacing w:before="0" w:after="0"/>
        <w:ind w:left="0" w:right="0" w:hanging="0"/>
        <w:jc w:val="left"/>
        <w:rPr>
          <w:caps w:val="false"/>
          <w:smallCaps w:val="false"/>
        </w:rPr>
      </w:pPr>
      <w:r>
        <w:rPr>
          <w:caps w:val="false"/>
          <w:smallCaps w:val="false"/>
        </w:rPr>
        <w:t> </w:t>
      </w:r>
    </w:p>
    <w:tbl>
      <w:tblPr>
        <w:tblW w:w="10030" w:type="dxa"/>
        <w:jc w:val="left"/>
        <w:tblInd w:w="0" w:type="dxa"/>
        <w:tblLayout w:type="fixed"/>
        <w:tblCellMar>
          <w:top w:w="0" w:type="dxa"/>
          <w:left w:w="0" w:type="dxa"/>
          <w:bottom w:w="0" w:type="dxa"/>
          <w:right w:w="0" w:type="dxa"/>
        </w:tblCellMar>
      </w:tblPr>
      <w:tblGrid>
        <w:gridCol w:w="60"/>
        <w:gridCol w:w="170"/>
        <w:gridCol w:w="98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800"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our ability to successfully commercialize the sale of our product candidates in the United States, Europe and elsewhere;</w:t>
            </w:r>
          </w:p>
        </w:tc>
      </w:tr>
    </w:tbl>
    <w:p>
      <w:pPr>
        <w:pStyle w:val="TextBody"/>
        <w:bidi w:val="0"/>
        <w:spacing w:before="0" w:after="0"/>
        <w:ind w:left="0" w:right="0" w:hanging="0"/>
        <w:jc w:val="left"/>
        <w:rPr>
          <w:caps w:val="false"/>
          <w:smallCaps w:val="false"/>
        </w:rPr>
      </w:pPr>
      <w:r>
        <w:rPr>
          <w:caps w:val="false"/>
          <w:smallCaps w:val="false"/>
        </w:rPr>
        <w:t> </w:t>
      </w:r>
    </w:p>
    <w:tbl>
      <w:tblPr>
        <w:tblW w:w="9475" w:type="dxa"/>
        <w:jc w:val="left"/>
        <w:tblInd w:w="0" w:type="dxa"/>
        <w:tblLayout w:type="fixed"/>
        <w:tblCellMar>
          <w:top w:w="0" w:type="dxa"/>
          <w:left w:w="0" w:type="dxa"/>
          <w:bottom w:w="0" w:type="dxa"/>
          <w:right w:w="0" w:type="dxa"/>
        </w:tblCellMar>
      </w:tblPr>
      <w:tblGrid>
        <w:gridCol w:w="60"/>
        <w:gridCol w:w="170"/>
        <w:gridCol w:w="92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245"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our ability to recruit sufficient numbers of patients for our future clinical trials for our pharmaceutical products;</w:t>
            </w:r>
          </w:p>
        </w:tc>
      </w:tr>
    </w:tbl>
    <w:p>
      <w:pPr>
        <w:pStyle w:val="TextBody"/>
        <w:bidi w:val="0"/>
        <w:spacing w:before="0" w:after="0"/>
        <w:ind w:left="0" w:right="0" w:hanging="0"/>
        <w:jc w:val="left"/>
        <w:rPr>
          <w:caps w:val="false"/>
          <w:smallCaps w:val="false"/>
        </w:rPr>
      </w:pPr>
      <w:r>
        <w:rPr>
          <w:caps w:val="false"/>
          <w:smallCaps w:val="false"/>
        </w:rPr>
        <w:t> </w:t>
      </w:r>
    </w:p>
    <w:tbl>
      <w:tblPr>
        <w:tblW w:w="3115" w:type="dxa"/>
        <w:jc w:val="left"/>
        <w:tblInd w:w="0" w:type="dxa"/>
        <w:tblLayout w:type="fixed"/>
        <w:tblCellMar>
          <w:top w:w="0" w:type="dxa"/>
          <w:left w:w="0" w:type="dxa"/>
          <w:bottom w:w="0" w:type="dxa"/>
          <w:right w:w="0" w:type="dxa"/>
        </w:tblCellMar>
      </w:tblPr>
      <w:tblGrid>
        <w:gridCol w:w="60"/>
        <w:gridCol w:w="170"/>
        <w:gridCol w:w="28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885"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our ability to achieve profitability;</w:t>
            </w:r>
          </w:p>
        </w:tc>
      </w:tr>
    </w:tbl>
    <w:p>
      <w:pPr>
        <w:pStyle w:val="TextBody"/>
        <w:bidi w:val="0"/>
        <w:spacing w:before="0" w:after="0"/>
        <w:ind w:left="0" w:right="0" w:hanging="0"/>
        <w:jc w:val="left"/>
        <w:rPr>
          <w:caps w:val="false"/>
          <w:smallCaps w:val="false"/>
        </w:rPr>
      </w:pPr>
      <w:r>
        <w:rPr>
          <w:caps w:val="false"/>
          <w:smallCaps w:val="false"/>
        </w:rPr>
        <w:t> </w:t>
      </w:r>
    </w:p>
    <w:tbl>
      <w:tblPr>
        <w:tblW w:w="5320" w:type="dxa"/>
        <w:jc w:val="left"/>
        <w:tblInd w:w="0" w:type="dxa"/>
        <w:tblLayout w:type="fixed"/>
        <w:tblCellMar>
          <w:top w:w="0" w:type="dxa"/>
          <w:left w:w="0" w:type="dxa"/>
          <w:bottom w:w="0" w:type="dxa"/>
          <w:right w:w="0" w:type="dxa"/>
        </w:tblCellMar>
      </w:tblPr>
      <w:tblGrid>
        <w:gridCol w:w="60"/>
        <w:gridCol w:w="170"/>
        <w:gridCol w:w="50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090"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the implementation of our business model and strategic plans;</w:t>
            </w:r>
          </w:p>
        </w:tc>
      </w:tr>
    </w:tbl>
    <w:p>
      <w:pPr>
        <w:pStyle w:val="TextBody"/>
        <w:bidi w:val="0"/>
        <w:spacing w:before="0" w:after="0"/>
        <w:ind w:left="0" w:right="0" w:hanging="0"/>
        <w:jc w:val="left"/>
        <w:rPr>
          <w:caps w:val="false"/>
          <w:smallCaps w:val="false"/>
        </w:rPr>
      </w:pPr>
      <w:r>
        <w:rPr>
          <w:caps w:val="false"/>
          <w:smallCaps w:val="false"/>
        </w:rPr>
        <w:t> </w:t>
      </w:r>
    </w:p>
    <w:tbl>
      <w:tblPr>
        <w:tblW w:w="9265" w:type="dxa"/>
        <w:jc w:val="left"/>
        <w:tblInd w:w="0" w:type="dxa"/>
        <w:tblLayout w:type="fixed"/>
        <w:tblCellMar>
          <w:top w:w="0" w:type="dxa"/>
          <w:left w:w="0" w:type="dxa"/>
          <w:bottom w:w="0" w:type="dxa"/>
          <w:right w:w="0" w:type="dxa"/>
        </w:tblCellMar>
      </w:tblPr>
      <w:tblGrid>
        <w:gridCol w:w="60"/>
        <w:gridCol w:w="170"/>
        <w:gridCol w:w="90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35"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our ability to develop and commercialize product candidates for orphan and niche indications independently;</w:t>
            </w:r>
          </w:p>
        </w:tc>
      </w:tr>
    </w:tbl>
    <w:p>
      <w:pPr>
        <w:pStyle w:val="TextBody"/>
        <w:bidi w:val="0"/>
        <w:spacing w:before="0" w:after="0"/>
        <w:ind w:left="0" w:right="0" w:hanging="0"/>
        <w:jc w:val="left"/>
        <w:rPr>
          <w:caps w:val="false"/>
          <w:smallCaps w:val="false"/>
        </w:rPr>
      </w:pPr>
      <w:r>
        <w:rPr>
          <w:caps w:val="false"/>
          <w:smallCaps w:val="false"/>
        </w:rPr>
        <w:t> </w:t>
      </w:r>
    </w:p>
    <w:tbl>
      <w:tblPr>
        <w:tblW w:w="6775" w:type="dxa"/>
        <w:jc w:val="left"/>
        <w:tblInd w:w="0" w:type="dxa"/>
        <w:tblLayout w:type="fixed"/>
        <w:tblCellMar>
          <w:top w:w="0" w:type="dxa"/>
          <w:left w:w="0" w:type="dxa"/>
          <w:bottom w:w="0" w:type="dxa"/>
          <w:right w:w="0" w:type="dxa"/>
        </w:tblCellMar>
      </w:tblPr>
      <w:tblGrid>
        <w:gridCol w:w="60"/>
        <w:gridCol w:w="170"/>
        <w:gridCol w:w="65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545"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our commercialization, marketing and manufacturing capabilities and strategy;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our ability to protect our intellectual property and operate our business without infringing upon the intellectual property rights of others;</w:t>
            </w:r>
          </w:p>
        </w:tc>
      </w:tr>
    </w:tbl>
    <w:p>
      <w:pPr>
        <w:pStyle w:val="TextBody"/>
        <w:bidi w:val="0"/>
        <w:spacing w:before="0" w:after="0"/>
        <w:ind w:left="0" w:right="0" w:hanging="0"/>
        <w:jc w:val="left"/>
        <w:rPr>
          <w:caps w:val="false"/>
          <w:smallCaps w:val="false"/>
        </w:rPr>
      </w:pPr>
      <w:r>
        <w:rPr>
          <w:caps w:val="false"/>
          <w:smallCaps w:val="false"/>
        </w:rPr>
        <w:t> </w:t>
      </w:r>
    </w:p>
    <w:tbl>
      <w:tblPr>
        <w:tblW w:w="6685" w:type="dxa"/>
        <w:jc w:val="left"/>
        <w:tblInd w:w="0" w:type="dxa"/>
        <w:tblLayout w:type="fixed"/>
        <w:tblCellMar>
          <w:top w:w="0" w:type="dxa"/>
          <w:left w:w="0" w:type="dxa"/>
          <w:bottom w:w="0" w:type="dxa"/>
          <w:right w:w="0" w:type="dxa"/>
        </w:tblCellMar>
      </w:tblPr>
      <w:tblGrid>
        <w:gridCol w:w="60"/>
        <w:gridCol w:w="170"/>
        <w:gridCol w:w="64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455"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our expectations regarding federal, state and foreign regulatory requirements;</w:t>
            </w:r>
          </w:p>
        </w:tc>
      </w:tr>
    </w:tbl>
    <w:p>
      <w:pPr>
        <w:pStyle w:val="TextBody"/>
        <w:bidi w:val="0"/>
        <w:spacing w:before="0" w:after="0"/>
        <w:ind w:left="0" w:right="0" w:hanging="0"/>
        <w:jc w:val="left"/>
        <w:rPr>
          <w:caps w:val="false"/>
          <w:smallCaps w:val="false"/>
        </w:rPr>
      </w:pPr>
      <w:r>
        <w:rPr>
          <w:caps w:val="false"/>
          <w:smallCaps w:val="false"/>
        </w:rPr>
        <w:t> </w:t>
      </w:r>
    </w:p>
    <w:tbl>
      <w:tblPr>
        <w:tblW w:w="6430" w:type="dxa"/>
        <w:jc w:val="left"/>
        <w:tblInd w:w="0" w:type="dxa"/>
        <w:tblLayout w:type="fixed"/>
        <w:tblCellMar>
          <w:top w:w="0" w:type="dxa"/>
          <w:left w:w="0" w:type="dxa"/>
          <w:bottom w:w="0" w:type="dxa"/>
          <w:right w:w="0" w:type="dxa"/>
        </w:tblCellMar>
      </w:tblPr>
      <w:tblGrid>
        <w:gridCol w:w="60"/>
        <w:gridCol w:w="170"/>
        <w:gridCol w:w="62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200"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the therapeutic benefits, effectiveness and safety of our product candidates;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the accuracy of our estimates of the size and characteristics of the markets that may be addressed by our products and product candidates;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the rate and degree of market acceptance and clinical utility of our future products, if any;</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our expectations regarding market risk, including interest rate changes, foreign currency fluctuations and regional or global economic impacts caused by public health threats, such as the outbreak of coronavirus or other infectious diseases;</w:t>
            </w:r>
          </w:p>
        </w:tc>
      </w:tr>
    </w:tbl>
    <w:p>
      <w:pPr>
        <w:pStyle w:val="TextBody"/>
        <w:bidi w:val="0"/>
        <w:spacing w:before="0" w:after="0"/>
        <w:ind w:left="0" w:right="0" w:hanging="0"/>
        <w:jc w:val="left"/>
        <w:rPr>
          <w:caps w:val="false"/>
          <w:smallCaps w:val="false"/>
        </w:rPr>
      </w:pPr>
      <w:r>
        <w:rPr>
          <w:caps w:val="false"/>
          <w:smallCaps w:val="false"/>
        </w:rPr>
        <w:t> </w:t>
      </w:r>
    </w:p>
    <w:tbl>
      <w:tblPr>
        <w:tblW w:w="6610" w:type="dxa"/>
        <w:jc w:val="left"/>
        <w:tblInd w:w="0" w:type="dxa"/>
        <w:tblLayout w:type="fixed"/>
        <w:tblCellMar>
          <w:top w:w="0" w:type="dxa"/>
          <w:left w:w="0" w:type="dxa"/>
          <w:bottom w:w="0" w:type="dxa"/>
          <w:right w:w="0" w:type="dxa"/>
        </w:tblCellMar>
      </w:tblPr>
      <w:tblGrid>
        <w:gridCol w:w="60"/>
        <w:gridCol w:w="170"/>
        <w:gridCol w:w="63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380"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our ability to engage and retain the employees required to grow our business;</w:t>
            </w:r>
          </w:p>
        </w:tc>
      </w:tr>
    </w:tbl>
    <w:p>
      <w:pPr>
        <w:pStyle w:val="TextBody"/>
        <w:bidi w:val="0"/>
        <w:spacing w:before="0" w:after="0"/>
        <w:ind w:left="0" w:right="0" w:hanging="0"/>
        <w:jc w:val="left"/>
        <w:rPr>
          <w:caps w:val="false"/>
          <w:smallCaps w:val="false"/>
        </w:rPr>
      </w:pPr>
      <w:r>
        <w:rPr>
          <w:caps w:val="false"/>
          <w:smallCaps w:val="false"/>
        </w:rPr>
        <w:t> </w:t>
      </w:r>
    </w:p>
    <w:tbl>
      <w:tblPr>
        <w:tblW w:w="5290" w:type="dxa"/>
        <w:jc w:val="left"/>
        <w:tblInd w:w="0" w:type="dxa"/>
        <w:tblLayout w:type="fixed"/>
        <w:tblCellMar>
          <w:top w:w="0" w:type="dxa"/>
          <w:left w:w="0" w:type="dxa"/>
          <w:bottom w:w="0" w:type="dxa"/>
          <w:right w:w="0" w:type="dxa"/>
        </w:tblCellMar>
      </w:tblPr>
      <w:tblGrid>
        <w:gridCol w:w="60"/>
        <w:gridCol w:w="170"/>
        <w:gridCol w:w="50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060"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our future financial performance and projected expenditures;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developments relating to our competitors and our industry, including the success of competing therapies that are or become available; and</w:t>
            </w:r>
          </w:p>
        </w:tc>
      </w:tr>
    </w:tbl>
    <w:p>
      <w:pPr>
        <w:pStyle w:val="TextBody"/>
        <w:bidi w:val="0"/>
        <w:spacing w:before="0" w:after="0"/>
        <w:ind w:left="0" w:right="0" w:hanging="0"/>
        <w:jc w:val="left"/>
        <w:rPr>
          <w:caps w:val="false"/>
          <w:smallCaps w:val="false"/>
        </w:rPr>
      </w:pPr>
      <w:r>
        <w:rPr>
          <w:caps w:val="false"/>
          <w:smallCaps w:val="false"/>
        </w:rPr>
        <w:t> </w:t>
      </w:r>
    </w:p>
    <w:tbl>
      <w:tblPr>
        <w:tblW w:w="8650" w:type="dxa"/>
        <w:jc w:val="left"/>
        <w:tblInd w:w="0" w:type="dxa"/>
        <w:tblLayout w:type="fixed"/>
        <w:tblCellMar>
          <w:top w:w="0" w:type="dxa"/>
          <w:left w:w="0" w:type="dxa"/>
          <w:bottom w:w="0" w:type="dxa"/>
          <w:right w:w="0" w:type="dxa"/>
        </w:tblCellMar>
      </w:tblPr>
      <w:tblGrid>
        <w:gridCol w:w="60"/>
        <w:gridCol w:w="170"/>
        <w:gridCol w:w="84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420"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estimates of our expenses, future revenue, capital requirements and our needs for additional financing.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All forward looking statements in this Quarterly Report on Form 10-Q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under the heading “Risk Factors” included in our annual report for the year ended December 31, 2025 filed with the SEC on March 13, 2026, and under the heading “Risk Factors” and elsewhere in this Quarterly Report on Form 10-Q. These factors should not be construed as exhaustive and should be read in conjunction with the other cautionary statements that are included in this Quarterly Report on Form 10-Q.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This Quarterly Report on Form 10-Q also contains estimates, projections and other information concerning our industry, our business, and the markets for certain medical conditions,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2" w:name="Item_1"/>
      <w:bookmarkEnd w:id="2"/>
      <w:r>
        <w:rPr>
          <w:rFonts w:ascii="Times New Roman" w:hAnsi="Times New Roman"/>
          <w:b/>
          <w:caps w:val="false"/>
          <w:smallCaps w:val="false"/>
          <w:sz w:val="20"/>
        </w:rPr>
        <w:t xml:space="preserve">XBiotech Inc.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Condensed Consolidated Balance Sheets</w:t>
      </w:r>
      <w:bookmarkStart w:id="3" w:name="Condensed_Consolidated_Balance_Sheets"/>
      <w:bookmarkEnd w:id="3"/>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 except share data)</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486"/>
        <w:gridCol w:w="60"/>
        <w:gridCol w:w="154"/>
        <w:gridCol w:w="941"/>
        <w:gridCol w:w="80"/>
        <w:gridCol w:w="60"/>
        <w:gridCol w:w="190"/>
        <w:gridCol w:w="1152"/>
        <w:gridCol w:w="82"/>
      </w:tblGrid>
      <w:tr>
        <w:trPr/>
        <w:tc>
          <w:tcPr>
            <w:tcW w:w="748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 2026</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3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 2025</w:t>
            </w:r>
          </w:p>
        </w:tc>
        <w:tc>
          <w:tcPr>
            <w:tcW w:w="82"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748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941"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1152"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r>
      <w:tr>
        <w:trPr/>
        <w:tc>
          <w:tcPr>
            <w:tcW w:w="7486"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15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748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15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748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5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109,528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125,551</w:t>
            </w:r>
          </w:p>
        </w:tc>
        <w:tc>
          <w:tcPr>
            <w:tcW w:w="82" w:type="dxa"/>
            <w:tcBorders/>
            <w:shd w:fill="CCEEFF" w:val="clear"/>
            <w:vAlign w:val="center"/>
          </w:tcPr>
          <w:p>
            <w:pPr>
              <w:pStyle w:val="TableContents"/>
              <w:bidi w:val="0"/>
              <w:spacing w:before="0" w:after="283"/>
              <w:jc w:val="left"/>
              <w:rPr/>
            </w:pPr>
            <w:r>
              <w:rPr/>
              <w:t> </w:t>
            </w:r>
          </w:p>
        </w:tc>
      </w:tr>
      <w:tr>
        <w:trPr/>
        <w:tc>
          <w:tcPr>
            <w:tcW w:w="748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interest receivable</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9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ind w:left="0" w:right="0" w:hanging="0"/>
              <w:jc w:val="left"/>
              <w:rPr/>
            </w:pPr>
            <w:r>
              <w:rPr/>
              <w:t> </w:t>
            </w:r>
          </w:p>
        </w:tc>
        <w:tc>
          <w:tcPr>
            <w:tcW w:w="11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360</w:t>
            </w:r>
          </w:p>
        </w:tc>
        <w:tc>
          <w:tcPr>
            <w:tcW w:w="82" w:type="dxa"/>
            <w:tcBorders/>
            <w:shd w:fill="FFFFFF" w:val="clear"/>
            <w:vAlign w:val="center"/>
          </w:tcPr>
          <w:p>
            <w:pPr>
              <w:pStyle w:val="TableContents"/>
              <w:bidi w:val="0"/>
              <w:spacing w:before="0" w:after="283"/>
              <w:jc w:val="left"/>
              <w:rPr/>
            </w:pPr>
            <w:r>
              <w:rPr/>
              <w:t> </w:t>
            </w:r>
          </w:p>
        </w:tc>
      </w:tr>
      <w:tr>
        <w:trPr/>
        <w:tc>
          <w:tcPr>
            <w:tcW w:w="748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receivable</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9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ind w:left="0" w:right="0" w:hanging="0"/>
              <w:jc w:val="left"/>
              <w:rPr/>
            </w:pPr>
            <w:r>
              <w:rPr/>
              <w:t> </w:t>
            </w:r>
          </w:p>
        </w:tc>
        <w:tc>
          <w:tcPr>
            <w:tcW w:w="11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2" w:type="dxa"/>
            <w:tcBorders/>
            <w:shd w:fill="CCEEFF" w:val="clear"/>
            <w:vAlign w:val="center"/>
          </w:tcPr>
          <w:p>
            <w:pPr>
              <w:pStyle w:val="TableContents"/>
              <w:bidi w:val="0"/>
              <w:spacing w:before="0" w:after="283"/>
              <w:jc w:val="left"/>
              <w:rPr/>
            </w:pPr>
            <w:r>
              <w:rPr/>
              <w:t> </w:t>
            </w:r>
          </w:p>
        </w:tc>
      </w:tr>
      <w:tr>
        <w:trPr/>
        <w:tc>
          <w:tcPr>
            <w:tcW w:w="748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9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5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1,042</w:t>
            </w:r>
          </w:p>
        </w:tc>
        <w:tc>
          <w:tcPr>
            <w:tcW w:w="8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48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assets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9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111,159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ind w:left="0" w:right="0" w:hanging="0"/>
              <w:jc w:val="left"/>
              <w:rPr/>
            </w:pPr>
            <w:r>
              <w:rPr/>
              <w:t> </w:t>
            </w:r>
          </w:p>
        </w:tc>
        <w:tc>
          <w:tcPr>
            <w:tcW w:w="11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126,953</w:t>
            </w:r>
          </w:p>
        </w:tc>
        <w:tc>
          <w:tcPr>
            <w:tcW w:w="82" w:type="dxa"/>
            <w:tcBorders/>
            <w:shd w:fill="CCEEFF" w:val="clear"/>
            <w:vAlign w:val="center"/>
          </w:tcPr>
          <w:p>
            <w:pPr>
              <w:pStyle w:val="TableContents"/>
              <w:bidi w:val="0"/>
              <w:spacing w:before="0" w:after="283"/>
              <w:jc w:val="left"/>
              <w:rPr/>
            </w:pPr>
            <w:r>
              <w:rPr/>
              <w:t> </w:t>
            </w:r>
          </w:p>
        </w:tc>
      </w:tr>
      <w:tr>
        <w:trPr/>
        <w:tc>
          <w:tcPr>
            <w:tcW w:w="748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and equipment, net</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22,492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9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5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23,129</w:t>
            </w:r>
          </w:p>
        </w:tc>
        <w:tc>
          <w:tcPr>
            <w:tcW w:w="8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48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5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133,651</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9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5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150,082</w:t>
            </w:r>
          </w:p>
        </w:tc>
        <w:tc>
          <w:tcPr>
            <w:tcW w:w="8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748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15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748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Liabilities and shareholders</w:t>
            </w:r>
            <w:r>
              <w:rPr>
                <w:rFonts w:ascii="Times New Roman;Times;serif" w:hAnsi="Times New Roman;Times;serif"/>
                <w:caps w:val="false"/>
                <w:smallCaps w:val="false"/>
                <w:sz w:val="20"/>
              </w:rPr>
              <w:t xml:space="preserve">’ </w:t>
            </w:r>
            <w:r>
              <w:rPr>
                <w:rFonts w:ascii="Times New Roman;Times;serif" w:hAnsi="Times New Roman;Times;serif"/>
                <w:b/>
                <w:caps w:val="false"/>
                <w:smallCaps w:val="false"/>
                <w:sz w:val="20"/>
              </w:rPr>
              <w:t>equity</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15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748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liabilities:</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15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748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w:t>
            </w:r>
          </w:p>
        </w:tc>
        <w:tc>
          <w:tcPr>
            <w:tcW w:w="60" w:type="dxa"/>
            <w:tcBorders/>
            <w:shd w:fill="CCEEFF" w:val="clear"/>
            <w:vAlign w:val="center"/>
          </w:tcPr>
          <w:p>
            <w:pPr>
              <w:pStyle w:val="TableContents"/>
              <w:bidi w:val="0"/>
              <w:spacing w:before="0" w:after="283"/>
              <w:ind w:left="0" w:right="0" w:hanging="0"/>
              <w:jc w:val="left"/>
              <w:rPr/>
            </w:pPr>
            <w:r>
              <w:rPr/>
              <w:t> </w:t>
            </w:r>
          </w:p>
        </w:tc>
        <w:tc>
          <w:tcPr>
            <w:tcW w:w="15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1,535</w:t>
            </w:r>
          </w:p>
        </w:tc>
        <w:tc>
          <w:tcPr>
            <w:tcW w:w="82" w:type="dxa"/>
            <w:tcBorders/>
            <w:shd w:fill="CCEEFF" w:val="clear"/>
            <w:vAlign w:val="center"/>
          </w:tcPr>
          <w:p>
            <w:pPr>
              <w:pStyle w:val="TableContents"/>
              <w:bidi w:val="0"/>
              <w:spacing w:before="0" w:after="283"/>
              <w:jc w:val="left"/>
              <w:rPr/>
            </w:pPr>
            <w:r>
              <w:rPr/>
              <w:t> </w:t>
            </w:r>
          </w:p>
        </w:tc>
      </w:tr>
      <w:tr>
        <w:trPr/>
        <w:tc>
          <w:tcPr>
            <w:tcW w:w="748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expenses</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9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ind w:left="0" w:right="0" w:hanging="0"/>
              <w:jc w:val="left"/>
              <w:rPr/>
            </w:pPr>
            <w:r>
              <w:rPr/>
              <w:t> </w:t>
            </w:r>
          </w:p>
        </w:tc>
        <w:tc>
          <w:tcPr>
            <w:tcW w:w="11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6,318</w:t>
            </w:r>
          </w:p>
        </w:tc>
        <w:tc>
          <w:tcPr>
            <w:tcW w:w="82" w:type="dxa"/>
            <w:tcBorders/>
            <w:shd w:fill="FFFFFF" w:val="clear"/>
            <w:vAlign w:val="center"/>
          </w:tcPr>
          <w:p>
            <w:pPr>
              <w:pStyle w:val="TableContents"/>
              <w:bidi w:val="0"/>
              <w:spacing w:before="0" w:after="283"/>
              <w:jc w:val="left"/>
              <w:rPr/>
            </w:pPr>
            <w:r>
              <w:rPr/>
              <w:t> </w:t>
            </w:r>
          </w:p>
        </w:tc>
      </w:tr>
      <w:tr>
        <w:trPr/>
        <w:tc>
          <w:tcPr>
            <w:tcW w:w="748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payable</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9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5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w:t>
            </w:r>
          </w:p>
        </w:tc>
        <w:tc>
          <w:tcPr>
            <w:tcW w:w="8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748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liabilities</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9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3,353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ind w:left="0" w:right="0" w:hanging="0"/>
              <w:jc w:val="left"/>
              <w:rPr/>
            </w:pPr>
            <w:r>
              <w:rPr/>
              <w:t> </w:t>
            </w:r>
          </w:p>
        </w:tc>
        <w:tc>
          <w:tcPr>
            <w:tcW w:w="11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7,929</w:t>
            </w:r>
          </w:p>
        </w:tc>
        <w:tc>
          <w:tcPr>
            <w:tcW w:w="82" w:type="dxa"/>
            <w:tcBorders/>
            <w:shd w:fill="FFFFFF" w:val="clear"/>
            <w:vAlign w:val="center"/>
          </w:tcPr>
          <w:p>
            <w:pPr>
              <w:pStyle w:val="TableContents"/>
              <w:bidi w:val="0"/>
              <w:spacing w:before="0" w:after="283"/>
              <w:jc w:val="left"/>
              <w:rPr/>
            </w:pPr>
            <w:r>
              <w:rPr/>
              <w:t> </w:t>
            </w:r>
          </w:p>
        </w:tc>
      </w:tr>
      <w:tr>
        <w:trPr/>
        <w:tc>
          <w:tcPr>
            <w:tcW w:w="748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Long-term liabilities: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15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748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payable</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9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ind w:left="0" w:right="0" w:hanging="0"/>
              <w:jc w:val="left"/>
              <w:rPr/>
            </w:pPr>
            <w:r>
              <w:rPr/>
              <w:t> </w:t>
            </w:r>
          </w:p>
        </w:tc>
        <w:tc>
          <w:tcPr>
            <w:tcW w:w="11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1,798</w:t>
            </w:r>
          </w:p>
        </w:tc>
        <w:tc>
          <w:tcPr>
            <w:tcW w:w="82" w:type="dxa"/>
            <w:tcBorders/>
            <w:shd w:fill="FFFFFF" w:val="clear"/>
            <w:vAlign w:val="center"/>
          </w:tcPr>
          <w:p>
            <w:pPr>
              <w:pStyle w:val="TableContents"/>
              <w:bidi w:val="0"/>
              <w:spacing w:before="0" w:after="283"/>
              <w:jc w:val="left"/>
              <w:rPr/>
            </w:pPr>
            <w:r>
              <w:rPr/>
              <w:t> </w:t>
            </w:r>
          </w:p>
        </w:tc>
      </w:tr>
      <w:tr>
        <w:trPr/>
        <w:tc>
          <w:tcPr>
            <w:tcW w:w="748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tax liability</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9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5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8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7486"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Total liabilities </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5,190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9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5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9,732</w:t>
            </w:r>
          </w:p>
        </w:tc>
        <w:tc>
          <w:tcPr>
            <w:tcW w:w="8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48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15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748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Shareholders</w:t>
            </w:r>
            <w:r>
              <w:rPr>
                <w:rFonts w:ascii="Times New Roman;Times;serif" w:hAnsi="Times New Roman;Times;serif"/>
                <w:caps w:val="false"/>
                <w:smallCaps w:val="false"/>
                <w:sz w:val="20"/>
              </w:rPr>
              <w:t xml:space="preserve">’ </w:t>
            </w:r>
            <w:r>
              <w:rPr>
                <w:rFonts w:ascii="Times New Roman;Times;serif" w:hAnsi="Times New Roman;Times;serif"/>
                <w:b/>
                <w:caps w:val="false"/>
                <w:smallCaps w:val="false"/>
                <w:sz w:val="20"/>
              </w:rPr>
              <w:t>equity:</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15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748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Preferred stock, no par value, unlimited shares authorized, no shares outstanding</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9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ind w:left="0" w:right="0" w:hanging="0"/>
              <w:jc w:val="left"/>
              <w:rPr/>
            </w:pPr>
            <w:r>
              <w:rPr/>
              <w:t> </w:t>
            </w:r>
          </w:p>
        </w:tc>
        <w:tc>
          <w:tcPr>
            <w:tcW w:w="11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2" w:type="dxa"/>
            <w:tcBorders/>
            <w:shd w:fill="CCEEFF" w:val="clear"/>
            <w:vAlign w:val="center"/>
          </w:tcPr>
          <w:p>
            <w:pPr>
              <w:pStyle w:val="TableContents"/>
              <w:bidi w:val="0"/>
              <w:spacing w:before="0" w:after="283"/>
              <w:jc w:val="left"/>
              <w:rPr/>
            </w:pPr>
            <w:r>
              <w:rPr/>
              <w:t> </w:t>
            </w:r>
          </w:p>
        </w:tc>
      </w:tr>
      <w:tr>
        <w:trPr/>
        <w:tc>
          <w:tcPr>
            <w:tcW w:w="748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no par value, unlimited shares authorized, 30,487,731 shares issued and outstanding at June 30, 2026 and December 31, 2025</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9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277,071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ind w:left="0" w:right="0" w:hanging="0"/>
              <w:jc w:val="left"/>
              <w:rPr/>
            </w:pPr>
            <w:r>
              <w:rPr/>
              <w:t> </w:t>
            </w:r>
          </w:p>
        </w:tc>
        <w:tc>
          <w:tcPr>
            <w:tcW w:w="11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276,727</w:t>
            </w:r>
          </w:p>
        </w:tc>
        <w:tc>
          <w:tcPr>
            <w:tcW w:w="82" w:type="dxa"/>
            <w:tcBorders/>
            <w:shd w:fill="FFFFFF" w:val="clear"/>
            <w:vAlign w:val="center"/>
          </w:tcPr>
          <w:p>
            <w:pPr>
              <w:pStyle w:val="TableContents"/>
              <w:bidi w:val="0"/>
              <w:spacing w:before="0" w:after="283"/>
              <w:jc w:val="left"/>
              <w:rPr/>
            </w:pPr>
            <w:r>
              <w:rPr/>
              <w:t> </w:t>
            </w:r>
          </w:p>
        </w:tc>
      </w:tr>
      <w:tr>
        <w:trPr/>
        <w:tc>
          <w:tcPr>
            <w:tcW w:w="748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deficit</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(148,610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9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5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(136,377</w:t>
            </w:r>
          </w:p>
        </w:tc>
        <w:tc>
          <w:tcPr>
            <w:tcW w:w="82"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48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shareholders’ equity</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128,461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9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5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140,350</w:t>
            </w:r>
          </w:p>
        </w:tc>
        <w:tc>
          <w:tcPr>
            <w:tcW w:w="8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48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15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748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Total liabilities and shareholders</w:t>
            </w:r>
            <w:r>
              <w:rPr>
                <w:rFonts w:ascii="Times New Roman;Times;serif" w:hAnsi="Times New Roman;Times;serif"/>
                <w:caps w:val="false"/>
                <w:smallCaps w:val="false"/>
                <w:sz w:val="20"/>
              </w:rPr>
              <w:t xml:space="preserve">’ </w:t>
            </w:r>
            <w:r>
              <w:rPr>
                <w:rFonts w:ascii="Times New Roman;Times;serif" w:hAnsi="Times New Roman;Times;serif"/>
                <w:b/>
                <w:caps w:val="false"/>
                <w:smallCaps w:val="false"/>
                <w:sz w:val="20"/>
              </w:rPr>
              <w:t xml:space="preserve">equity </w:t>
            </w:r>
          </w:p>
        </w:tc>
        <w:tc>
          <w:tcPr>
            <w:tcW w:w="60" w:type="dxa"/>
            <w:tcBorders/>
            <w:shd w:fill="FFFFFF" w:val="clear"/>
            <w:vAlign w:val="center"/>
          </w:tcPr>
          <w:p>
            <w:pPr>
              <w:pStyle w:val="TableContents"/>
              <w:bidi w:val="0"/>
              <w:spacing w:before="0" w:after="283"/>
              <w:ind w:left="0" w:right="0" w:hanging="0"/>
              <w:jc w:val="left"/>
              <w:rPr/>
            </w:pPr>
            <w:r>
              <w:rPr/>
              <w:t> </w:t>
            </w:r>
          </w:p>
        </w:tc>
        <w:tc>
          <w:tcPr>
            <w:tcW w:w="15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133,651</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9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5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150,082</w:t>
            </w:r>
          </w:p>
        </w:tc>
        <w:tc>
          <w:tcPr>
            <w:tcW w:w="8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See accompanying notes to unaudited condensed consolidated financial statements</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83"/>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XBiotech Inc.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Condensed Consolidated Statements of Operations (unaudited)</w:t>
      </w:r>
      <w:bookmarkStart w:id="4" w:name="Condensed_Consolidated_Statements_of_Ope"/>
      <w:bookmarkEnd w:id="4"/>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tbl>
      <w:tblPr>
        <w:tblW w:w="9904" w:type="dxa"/>
        <w:jc w:val="left"/>
        <w:tblInd w:w="0" w:type="dxa"/>
        <w:tblLayout w:type="fixed"/>
        <w:tblCellMar>
          <w:top w:w="0" w:type="dxa"/>
          <w:left w:w="0" w:type="dxa"/>
          <w:bottom w:w="0" w:type="dxa"/>
          <w:right w:w="0" w:type="dxa"/>
        </w:tblCellMar>
      </w:tblPr>
      <w:tblGrid>
        <w:gridCol w:w="4790"/>
        <w:gridCol w:w="60"/>
        <w:gridCol w:w="138"/>
        <w:gridCol w:w="1053"/>
        <w:gridCol w:w="88"/>
        <w:gridCol w:w="66"/>
        <w:gridCol w:w="138"/>
        <w:gridCol w:w="1053"/>
        <w:gridCol w:w="80"/>
        <w:gridCol w:w="60"/>
        <w:gridCol w:w="125"/>
        <w:gridCol w:w="954"/>
        <w:gridCol w:w="80"/>
        <w:gridCol w:w="60"/>
        <w:gridCol w:w="125"/>
        <w:gridCol w:w="954"/>
        <w:gridCol w:w="80"/>
      </w:tblGrid>
      <w:tr>
        <w:trPr/>
        <w:tc>
          <w:tcPr>
            <w:tcW w:w="47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36"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98"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80" w:type="dxa"/>
            <w:tcBorders/>
            <w:vAlign w:val="center"/>
          </w:tcPr>
          <w:p>
            <w:pPr>
              <w:pStyle w:val="TableContents"/>
              <w:bidi w:val="0"/>
              <w:spacing w:before="0" w:after="283"/>
              <w:jc w:val="left"/>
              <w:rPr/>
            </w:pPr>
            <w:r>
              <w:rPr/>
              <w:t> </w:t>
            </w:r>
          </w:p>
        </w:tc>
      </w:tr>
      <w:tr>
        <w:trPr/>
        <w:tc>
          <w:tcPr>
            <w:tcW w:w="47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91"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8"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ind w:left="0" w:right="0" w:hanging="0"/>
              <w:jc w:val="left"/>
              <w:rPr/>
            </w:pPr>
            <w:r>
              <w:rPr/>
              <w:t> </w:t>
            </w:r>
          </w:p>
        </w:tc>
        <w:tc>
          <w:tcPr>
            <w:tcW w:w="1191"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r>
      <w:tr>
        <w:trPr/>
        <w:tc>
          <w:tcPr>
            <w:tcW w:w="47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88" w:type="dxa"/>
            <w:tcBorders>
              <w:bottom w:val="single" w:sz="2" w:space="0" w:color="000000"/>
            </w:tcBorders>
            <w:tcMar>
              <w:bottom w:w="28" w:type="dxa"/>
            </w:tcMar>
            <w:vAlign w:val="center"/>
          </w:tcPr>
          <w:p>
            <w:pPr>
              <w:pStyle w:val="TableContents"/>
              <w:bidi w:val="0"/>
              <w:spacing w:before="0" w:after="283"/>
              <w:jc w:val="left"/>
              <w:rPr/>
            </w:pPr>
            <w:r>
              <w:rPr/>
              <w:t> </w:t>
            </w:r>
          </w:p>
        </w:tc>
        <w:tc>
          <w:tcPr>
            <w:tcW w:w="66"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1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07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07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7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79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FFFFFF" w:val="clear"/>
            <w:vAlign w:val="center"/>
          </w:tcPr>
          <w:p>
            <w:pPr>
              <w:pStyle w:val="TableContents"/>
              <w:bidi w:val="0"/>
              <w:spacing w:before="0" w:after="283"/>
              <w:ind w:left="0" w:right="0" w:hanging="0"/>
              <w:jc w:val="left"/>
              <w:rPr/>
            </w:pPr>
            <w:r>
              <w:rPr/>
              <w:t> </w:t>
            </w:r>
          </w:p>
        </w:tc>
        <w:tc>
          <w:tcPr>
            <w:tcW w:w="13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5,296</w:t>
            </w:r>
          </w:p>
        </w:tc>
        <w:tc>
          <w:tcPr>
            <w:tcW w:w="88"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ind w:left="0" w:right="0" w:hanging="0"/>
              <w:jc w:val="left"/>
              <w:rPr/>
            </w:pPr>
            <w:r>
              <w:rPr/>
              <w:t> </w:t>
            </w:r>
          </w:p>
        </w:tc>
        <w:tc>
          <w:tcPr>
            <w:tcW w:w="13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5,336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10,503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16,954</w:t>
            </w:r>
          </w:p>
        </w:tc>
        <w:tc>
          <w:tcPr>
            <w:tcW w:w="80" w:type="dxa"/>
            <w:tcBorders/>
            <w:shd w:fill="FFFFFF" w:val="clear"/>
            <w:vAlign w:val="center"/>
          </w:tcPr>
          <w:p>
            <w:pPr>
              <w:pStyle w:val="TableContents"/>
              <w:bidi w:val="0"/>
              <w:spacing w:before="0" w:after="283"/>
              <w:jc w:val="left"/>
              <w:rPr/>
            </w:pPr>
            <w:r>
              <w:rPr/>
              <w:t> </w:t>
            </w:r>
          </w:p>
        </w:tc>
      </w:tr>
      <w:tr>
        <w:trPr/>
        <w:tc>
          <w:tcPr>
            <w:tcW w:w="479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w:t>
            </w:r>
          </w:p>
        </w:tc>
        <w:tc>
          <w:tcPr>
            <w:tcW w:w="60" w:type="dxa"/>
            <w:tcBorders/>
            <w:shd w:fill="CCEEFF" w:val="clear"/>
            <w:vAlign w:val="center"/>
          </w:tcPr>
          <w:p>
            <w:pPr>
              <w:pStyle w:val="TableContents"/>
              <w:bidi w:val="0"/>
              <w:spacing w:before="0" w:after="283"/>
              <w:jc w:val="left"/>
              <w:rPr/>
            </w:pPr>
            <w:r>
              <w:rPr/>
              <w:t> </w:t>
            </w:r>
          </w:p>
        </w:tc>
        <w:tc>
          <w:tcPr>
            <w:tcW w:w="1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850</w:t>
            </w:r>
          </w:p>
        </w:tc>
        <w:tc>
          <w:tcPr>
            <w:tcW w:w="88"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1,917</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2,932</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7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w:t>
            </w:r>
          </w:p>
        </w:tc>
        <w:tc>
          <w:tcPr>
            <w:tcW w:w="60" w:type="dxa"/>
            <w:tcBorders/>
            <w:shd w:fill="FFFFFF" w:val="clear"/>
            <w:vAlign w:val="center"/>
          </w:tcPr>
          <w:p>
            <w:pPr>
              <w:pStyle w:val="TableContents"/>
              <w:bidi w:val="0"/>
              <w:spacing w:before="0" w:after="283"/>
              <w:jc w:val="left"/>
              <w:rPr/>
            </w:pPr>
            <w:r>
              <w:rPr/>
              <w:t> </w:t>
            </w:r>
          </w:p>
        </w:tc>
        <w:tc>
          <w:tcPr>
            <w:tcW w:w="1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6,146</w:t>
            </w:r>
          </w:p>
        </w:tc>
        <w:tc>
          <w:tcPr>
            <w:tcW w:w="8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6,336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12,420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19,886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7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from operations</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10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(6,146</w:t>
            </w:r>
          </w:p>
        </w:tc>
        <w:tc>
          <w:tcPr>
            <w:tcW w:w="8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6"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10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(6,336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(12,420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(19,886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7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1053"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105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7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(loss) income:</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79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10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885</w:t>
            </w:r>
          </w:p>
        </w:tc>
        <w:tc>
          <w:tcPr>
            <w:tcW w:w="88"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10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3,034</w:t>
            </w:r>
          </w:p>
        </w:tc>
        <w:tc>
          <w:tcPr>
            <w:tcW w:w="80" w:type="dxa"/>
            <w:tcBorders/>
            <w:shd w:fill="FFFFFF" w:val="clear"/>
            <w:vAlign w:val="center"/>
          </w:tcPr>
          <w:p>
            <w:pPr>
              <w:pStyle w:val="TableContents"/>
              <w:bidi w:val="0"/>
              <w:spacing w:before="0" w:after="283"/>
              <w:jc w:val="left"/>
              <w:rPr/>
            </w:pPr>
            <w:r>
              <w:rPr/>
              <w:t> </w:t>
            </w:r>
          </w:p>
        </w:tc>
      </w:tr>
      <w:tr>
        <w:trPr/>
        <w:tc>
          <w:tcPr>
            <w:tcW w:w="479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10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10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79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(loss) income</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10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8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6"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10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992</w:t>
            </w:r>
          </w:p>
        </w:tc>
        <w:tc>
          <w:tcPr>
            <w:tcW w:w="80" w:type="dxa"/>
            <w:tcBorders/>
            <w:shd w:fill="FFFFFF" w:val="clear"/>
            <w:vAlign w:val="center"/>
          </w:tcPr>
          <w:p>
            <w:pPr>
              <w:pStyle w:val="TableContents"/>
              <w:bidi w:val="0"/>
              <w:spacing w:before="0" w:after="283"/>
              <w:jc w:val="left"/>
              <w:rPr/>
            </w:pPr>
            <w:r>
              <w:rPr/>
              <w:t> </w:t>
            </w:r>
          </w:p>
        </w:tc>
      </w:tr>
      <w:tr>
        <w:trPr/>
        <w:tc>
          <w:tcPr>
            <w:tcW w:w="479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exchange (loss) gain</w:t>
            </w:r>
          </w:p>
        </w:tc>
        <w:tc>
          <w:tcPr>
            <w:tcW w:w="60" w:type="dxa"/>
            <w:tcBorders/>
            <w:shd w:fill="CCEEFF" w:val="clear"/>
            <w:vAlign w:val="center"/>
          </w:tcPr>
          <w:p>
            <w:pPr>
              <w:pStyle w:val="TableContents"/>
              <w:bidi w:val="0"/>
              <w:spacing w:before="0" w:after="283"/>
              <w:jc w:val="left"/>
              <w:rPr/>
            </w:pPr>
            <w:r>
              <w:rPr/>
              <w:t> </w:t>
            </w:r>
          </w:p>
        </w:tc>
        <w:tc>
          <w:tcPr>
            <w:tcW w:w="1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(1,412</w:t>
            </w:r>
          </w:p>
        </w:tc>
        <w:tc>
          <w:tcPr>
            <w:tcW w:w="88"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3,081</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(2,544</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3,365</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7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(loss) income</w:t>
            </w:r>
          </w:p>
        </w:tc>
        <w:tc>
          <w:tcPr>
            <w:tcW w:w="60" w:type="dxa"/>
            <w:tcBorders/>
            <w:shd w:fill="FFFFFF" w:val="clear"/>
            <w:vAlign w:val="center"/>
          </w:tcPr>
          <w:p>
            <w:pPr>
              <w:pStyle w:val="TableContents"/>
              <w:bidi w:val="0"/>
              <w:spacing w:before="0" w:after="283"/>
              <w:jc w:val="left"/>
              <w:rPr/>
            </w:pPr>
            <w:r>
              <w:rPr/>
              <w:t> </w:t>
            </w:r>
          </w:p>
        </w:tc>
        <w:tc>
          <w:tcPr>
            <w:tcW w:w="1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(536</w:t>
            </w:r>
          </w:p>
        </w:tc>
        <w:tc>
          <w:tcPr>
            <w:tcW w:w="88"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4,608</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7,303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7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before income taxes</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10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(6,682</w:t>
            </w:r>
          </w:p>
        </w:tc>
        <w:tc>
          <w:tcPr>
            <w:tcW w:w="8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6"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10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(12,138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(12,583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79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expense</w:t>
            </w:r>
          </w:p>
        </w:tc>
        <w:tc>
          <w:tcPr>
            <w:tcW w:w="60" w:type="dxa"/>
            <w:tcBorders/>
            <w:shd w:fill="FFFFFF" w:val="clear"/>
            <w:vAlign w:val="center"/>
          </w:tcPr>
          <w:p>
            <w:pPr>
              <w:pStyle w:val="TableContents"/>
              <w:bidi w:val="0"/>
              <w:spacing w:before="0" w:after="283"/>
              <w:jc w:val="left"/>
              <w:rPr/>
            </w:pPr>
            <w:r>
              <w:rPr/>
              <w:t> </w:t>
            </w:r>
          </w:p>
        </w:tc>
        <w:tc>
          <w:tcPr>
            <w:tcW w:w="1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w:t>
            </w:r>
          </w:p>
        </w:tc>
        <w:tc>
          <w:tcPr>
            <w:tcW w:w="88"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7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13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(6,728</w:t>
            </w:r>
          </w:p>
        </w:tc>
        <w:tc>
          <w:tcPr>
            <w:tcW w:w="8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(1,756</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(12,233</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(12,640</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7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per share—basic and diluted</w:t>
            </w:r>
          </w:p>
        </w:tc>
        <w:tc>
          <w:tcPr>
            <w:tcW w:w="60" w:type="dxa"/>
            <w:tcBorders/>
            <w:shd w:fill="FFFFFF" w:val="clear"/>
            <w:vAlign w:val="center"/>
          </w:tcPr>
          <w:p>
            <w:pPr>
              <w:pStyle w:val="TableContents"/>
              <w:bidi w:val="0"/>
              <w:spacing w:before="0" w:after="283"/>
              <w:ind w:left="0" w:right="0" w:hanging="0"/>
              <w:jc w:val="left"/>
              <w:rPr/>
            </w:pPr>
            <w:r>
              <w:rPr/>
              <w:t> </w:t>
            </w:r>
          </w:p>
        </w:tc>
        <w:tc>
          <w:tcPr>
            <w:tcW w:w="13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(0.22</w:t>
            </w:r>
          </w:p>
        </w:tc>
        <w:tc>
          <w:tcPr>
            <w:tcW w:w="8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6" w:type="dxa"/>
            <w:tcBorders/>
            <w:shd w:fill="FFFFFF" w:val="clear"/>
            <w:vAlign w:val="center"/>
          </w:tcPr>
          <w:p>
            <w:pPr>
              <w:pStyle w:val="TableContents"/>
              <w:bidi w:val="0"/>
              <w:spacing w:before="0" w:after="283"/>
              <w:ind w:left="0" w:right="0" w:hanging="0"/>
              <w:jc w:val="left"/>
              <w:rPr/>
            </w:pPr>
            <w:r>
              <w:rPr/>
              <w:t> </w:t>
            </w:r>
          </w:p>
        </w:tc>
        <w:tc>
          <w:tcPr>
            <w:tcW w:w="13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7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Shares used to compute basic and diluted net loss per share</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10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30,487,731</w:t>
            </w:r>
          </w:p>
        </w:tc>
        <w:tc>
          <w:tcPr>
            <w:tcW w:w="8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10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30,487,731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30,487,731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30,487,731</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 xml:space="preserve">See accompanying notes to unaudited condensed consolidated financial statements.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83"/>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XBiotech Inc.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Condensed Consolidated Statements of Shareholders' Equity (unaudited)</w:t>
      </w:r>
      <w:bookmarkStart w:id="5" w:name="Condensed_Consolidated_Statements_of_Sha"/>
      <w:bookmarkEnd w:id="5"/>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 except number of shares)</w:t>
      </w:r>
    </w:p>
    <w:p>
      <w:pPr>
        <w:pStyle w:val="TextBody"/>
        <w:bidi w:val="0"/>
        <w:spacing w:before="0" w:after="0"/>
        <w:ind w:left="0" w:right="0" w:hanging="0"/>
        <w:jc w:val="left"/>
        <w:rPr>
          <w:caps w:val="false"/>
          <w:smallCaps w:val="false"/>
        </w:rPr>
      </w:pPr>
      <w:r>
        <w:rPr>
          <w:caps w:val="false"/>
          <w:smallCaps w:val="false"/>
        </w:rPr>
        <w:t> </w:t>
      </w:r>
    </w:p>
    <w:tbl>
      <w:tblPr>
        <w:tblW w:w="7505" w:type="dxa"/>
        <w:jc w:val="left"/>
        <w:tblInd w:w="0" w:type="dxa"/>
        <w:tblLayout w:type="fixed"/>
        <w:tblCellMar>
          <w:top w:w="0" w:type="dxa"/>
          <w:left w:w="0" w:type="dxa"/>
          <w:bottom w:w="0" w:type="dxa"/>
          <w:right w:w="0" w:type="dxa"/>
        </w:tblCellMar>
      </w:tblPr>
      <w:tblGrid>
        <w:gridCol w:w="2885"/>
        <w:gridCol w:w="60"/>
        <w:gridCol w:w="60"/>
        <w:gridCol w:w="950"/>
        <w:gridCol w:w="60"/>
        <w:gridCol w:w="60"/>
        <w:gridCol w:w="125"/>
        <w:gridCol w:w="845"/>
        <w:gridCol w:w="60"/>
        <w:gridCol w:w="60"/>
        <w:gridCol w:w="125"/>
        <w:gridCol w:w="1175"/>
        <w:gridCol w:w="80"/>
        <w:gridCol w:w="60"/>
        <w:gridCol w:w="125"/>
        <w:gridCol w:w="695"/>
        <w:gridCol w:w="80"/>
      </w:tblGrid>
      <w:tr>
        <w:trPr/>
        <w:tc>
          <w:tcPr>
            <w:tcW w:w="28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top w:val="single" w:sz="2" w:space="0" w:color="000000"/>
            </w:tcBorders>
            <w:tcMar>
              <w:top w:w="28" w:type="dxa"/>
            </w:tcMar>
            <w:vAlign w:val="center"/>
          </w:tcPr>
          <w:p>
            <w:pPr>
              <w:pStyle w:val="TableContents"/>
              <w:bidi w:val="0"/>
              <w:spacing w:before="0" w:after="283"/>
              <w:jc w:val="left"/>
              <w:rPr/>
            </w:pPr>
            <w:r>
              <w:rPr/>
              <w:t> </w:t>
            </w:r>
          </w:p>
        </w:tc>
        <w:tc>
          <w:tcPr>
            <w:tcW w:w="950" w:type="dxa"/>
            <w:tcBorders>
              <w:top w:val="single" w:sz="2" w:space="0" w:color="000000"/>
            </w:tcBorders>
            <w:tcMar>
              <w:top w:w="28" w:type="dxa"/>
            </w:tcMar>
            <w:vAlign w:val="center"/>
          </w:tcPr>
          <w:p>
            <w:pPr>
              <w:pStyle w:val="TableContents"/>
              <w:bidi w:val="0"/>
              <w:spacing w:before="0" w:after="283"/>
              <w:jc w:val="left"/>
              <w:rPr/>
            </w:pPr>
            <w:r>
              <w:rPr/>
              <w:t> </w:t>
            </w:r>
          </w:p>
        </w:tc>
        <w:tc>
          <w:tcPr>
            <w:tcW w:w="60" w:type="dxa"/>
            <w:tcBorders>
              <w:top w:val="single" w:sz="2" w:space="0" w:color="000000"/>
            </w:tcBorders>
            <w:tcMar>
              <w:top w:w="28" w:type="dxa"/>
            </w:tcMar>
            <w:vAlign w:val="center"/>
          </w:tcPr>
          <w:p>
            <w:pPr>
              <w:pStyle w:val="TableContents"/>
              <w:bidi w:val="0"/>
              <w:spacing w:before="0" w:after="283"/>
              <w:jc w:val="left"/>
              <w:rPr/>
            </w:pPr>
            <w:r>
              <w:rPr/>
              <w:t> </w:t>
            </w:r>
          </w:p>
        </w:tc>
        <w:tc>
          <w:tcPr>
            <w:tcW w:w="60" w:type="dxa"/>
            <w:tcBorders>
              <w:top w:val="single" w:sz="2" w:space="0" w:color="000000"/>
            </w:tcBorders>
            <w:tcMar>
              <w:top w:w="28" w:type="dxa"/>
            </w:tcMar>
            <w:vAlign w:val="center"/>
          </w:tcPr>
          <w:p>
            <w:pPr>
              <w:pStyle w:val="TableContents"/>
              <w:bidi w:val="0"/>
              <w:spacing w:before="0" w:after="283"/>
              <w:jc w:val="left"/>
              <w:rPr/>
            </w:pPr>
            <w:r>
              <w:rPr/>
              <w:t> </w:t>
            </w:r>
          </w:p>
        </w:tc>
        <w:tc>
          <w:tcPr>
            <w:tcW w:w="125" w:type="dxa"/>
            <w:tcBorders>
              <w:top w:val="single" w:sz="2" w:space="0" w:color="000000"/>
            </w:tcBorders>
            <w:tcMar>
              <w:top w:w="28" w:type="dxa"/>
            </w:tcMar>
            <w:vAlign w:val="center"/>
          </w:tcPr>
          <w:p>
            <w:pPr>
              <w:pStyle w:val="TableContents"/>
              <w:bidi w:val="0"/>
              <w:spacing w:before="0" w:after="283"/>
              <w:ind w:left="0" w:right="0" w:hanging="0"/>
              <w:jc w:val="left"/>
              <w:rPr/>
            </w:pPr>
            <w:r>
              <w:rPr/>
              <w:t> </w:t>
            </w:r>
          </w:p>
        </w:tc>
        <w:tc>
          <w:tcPr>
            <w:tcW w:w="845" w:type="dxa"/>
            <w:tcBorders>
              <w:top w:val="single" w:sz="2" w:space="0" w:color="000000"/>
            </w:tcBorders>
            <w:tcMar>
              <w:top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Common </w:t>
            </w:r>
          </w:p>
        </w:tc>
        <w:tc>
          <w:tcPr>
            <w:tcW w:w="60" w:type="dxa"/>
            <w:tcBorders>
              <w:top w:val="single" w:sz="2" w:space="0" w:color="000000"/>
            </w:tcBorders>
            <w:tcMar>
              <w:top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00" w:type="dxa"/>
            <w:gridSpan w:val="2"/>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0"/>
              <w:ind w:left="0" w:right="0" w:hanging="0"/>
              <w:jc w:val="center"/>
              <w:rPr>
                <w:caps w:val="false"/>
                <w:smallCaps w:val="false"/>
              </w:rPr>
            </w:pPr>
            <w:r>
              <w:rPr>
                <w:caps w:val="false"/>
                <w:smallCaps w:val="false"/>
              </w:rPr>
              <w:t> </w:t>
            </w:r>
          </w:p>
        </w:tc>
        <w:tc>
          <w:tcPr>
            <w:tcW w:w="95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 of</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5" w:type="dxa"/>
            <w:tcBorders/>
            <w:vAlign w:val="center"/>
          </w:tcPr>
          <w:p>
            <w:pPr>
              <w:pStyle w:val="TableContents"/>
              <w:bidi w:val="0"/>
              <w:spacing w:before="0" w:after="0"/>
              <w:ind w:left="0" w:right="0" w:hanging="0"/>
              <w:jc w:val="center"/>
              <w:rPr>
                <w:caps w:val="false"/>
                <w:smallCaps w:val="false"/>
              </w:rPr>
            </w:pPr>
            <w:r>
              <w:rPr>
                <w:caps w:val="false"/>
                <w:smallCaps w:val="false"/>
              </w:rPr>
              <w:t> </w:t>
            </w:r>
          </w:p>
        </w:tc>
        <w:tc>
          <w:tcPr>
            <w:tcW w:w="84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Accumulated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950" w:type="dxa"/>
            <w:tcBorders>
              <w:bottom w:val="single" w:sz="2" w:space="0" w:color="000000"/>
            </w:tcBorders>
            <w:tcMar>
              <w:bottom w:w="28" w:type="dxa"/>
            </w:tcMar>
            <w:vAlign w:val="center"/>
          </w:tcPr>
          <w:p>
            <w:pPr>
              <w:pStyle w:val="TableContents"/>
              <w:bidi w:val="0"/>
              <w:spacing w:before="0" w:after="283"/>
              <w:jc w:val="center"/>
              <w:rPr/>
            </w:pPr>
            <w:r>
              <w:rPr/>
              <w:t> </w:t>
            </w:r>
            <w:r>
              <w:rPr>
                <w:rFonts w:ascii="Times New Roman;Times;serif" w:hAnsi="Times New Roman;Times;serif"/>
                <w:b/>
                <w:sz w:val="20"/>
              </w:rPr>
              <w:t>Shares</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tcMar>
              <w:bottom w:w="28" w:type="dxa"/>
            </w:tcMar>
            <w:vAlign w:val="center"/>
          </w:tcPr>
          <w:p>
            <w:pPr>
              <w:pStyle w:val="TableContents"/>
              <w:bidi w:val="0"/>
              <w:spacing w:before="0" w:after="283"/>
              <w:jc w:val="left"/>
              <w:rPr/>
            </w:pPr>
            <w:r>
              <w:rPr/>
              <w:t> </w:t>
            </w:r>
          </w:p>
        </w:tc>
        <w:tc>
          <w:tcPr>
            <w:tcW w:w="845" w:type="dxa"/>
            <w:tcBorders>
              <w:bottom w:val="single" w:sz="2" w:space="0" w:color="000000"/>
            </w:tcBorders>
            <w:tcMar>
              <w:bottom w:w="28" w:type="dxa"/>
            </w:tcMar>
            <w:vAlign w:val="center"/>
          </w:tcPr>
          <w:p>
            <w:pPr>
              <w:pStyle w:val="TableContents"/>
              <w:bidi w:val="0"/>
              <w:spacing w:before="0" w:after="283"/>
              <w:jc w:val="center"/>
              <w:rPr/>
            </w:pPr>
            <w:r>
              <w:rPr/>
              <w:t> </w:t>
            </w:r>
            <w:r>
              <w:rPr>
                <w:rFonts w:ascii="Times New Roman;Times;serif" w:hAnsi="Times New Roman;Times;serif"/>
                <w:b/>
                <w:sz w:val="20"/>
              </w:rPr>
              <w:t>Amount</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tcMar>
              <w:bottom w:w="28" w:type="dxa"/>
            </w:tcMar>
            <w:vAlign w:val="center"/>
          </w:tcPr>
          <w:p>
            <w:pPr>
              <w:pStyle w:val="TableContents"/>
              <w:bidi w:val="0"/>
              <w:spacing w:before="0" w:after="283"/>
              <w:jc w:val="left"/>
              <w:rPr/>
            </w:pPr>
            <w:r>
              <w:rPr/>
              <w:t> </w:t>
            </w:r>
          </w:p>
        </w:tc>
        <w:tc>
          <w:tcPr>
            <w:tcW w:w="1175" w:type="dxa"/>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Deficit </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March 31, 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30,487,731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276,899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(141,882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135,017</w:t>
            </w:r>
          </w:p>
        </w:tc>
        <w:tc>
          <w:tcPr>
            <w:tcW w:w="80" w:type="dxa"/>
            <w:tcBorders/>
            <w:shd w:fill="CCEEFF"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1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(6,728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(6,728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8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Share-based compensation expense</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June 30, 2026</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30,487,731</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277,071</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(148,610</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128,461</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7520" w:type="dxa"/>
        <w:jc w:val="left"/>
        <w:tblInd w:w="0" w:type="dxa"/>
        <w:tblLayout w:type="fixed"/>
        <w:tblCellMar>
          <w:top w:w="0" w:type="dxa"/>
          <w:left w:w="0" w:type="dxa"/>
          <w:bottom w:w="0" w:type="dxa"/>
          <w:right w:w="0" w:type="dxa"/>
        </w:tblCellMar>
      </w:tblPr>
      <w:tblGrid>
        <w:gridCol w:w="2885"/>
        <w:gridCol w:w="60"/>
        <w:gridCol w:w="60"/>
        <w:gridCol w:w="950"/>
        <w:gridCol w:w="60"/>
        <w:gridCol w:w="60"/>
        <w:gridCol w:w="125"/>
        <w:gridCol w:w="845"/>
        <w:gridCol w:w="60"/>
        <w:gridCol w:w="60"/>
        <w:gridCol w:w="125"/>
        <w:gridCol w:w="1190"/>
        <w:gridCol w:w="80"/>
        <w:gridCol w:w="60"/>
        <w:gridCol w:w="125"/>
        <w:gridCol w:w="695"/>
        <w:gridCol w:w="80"/>
      </w:tblGrid>
      <w:tr>
        <w:trPr/>
        <w:tc>
          <w:tcPr>
            <w:tcW w:w="28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top w:val="single" w:sz="2" w:space="0" w:color="000000"/>
            </w:tcBorders>
            <w:tcMar>
              <w:top w:w="28" w:type="dxa"/>
            </w:tcMar>
            <w:vAlign w:val="center"/>
          </w:tcPr>
          <w:p>
            <w:pPr>
              <w:pStyle w:val="TableContents"/>
              <w:bidi w:val="0"/>
              <w:spacing w:before="0" w:after="283"/>
              <w:jc w:val="left"/>
              <w:rPr/>
            </w:pPr>
            <w:r>
              <w:rPr/>
              <w:t> </w:t>
            </w:r>
          </w:p>
        </w:tc>
        <w:tc>
          <w:tcPr>
            <w:tcW w:w="950" w:type="dxa"/>
            <w:tcBorders>
              <w:top w:val="single" w:sz="2" w:space="0" w:color="000000"/>
            </w:tcBorders>
            <w:tcMar>
              <w:top w:w="28" w:type="dxa"/>
            </w:tcMar>
            <w:vAlign w:val="center"/>
          </w:tcPr>
          <w:p>
            <w:pPr>
              <w:pStyle w:val="TableContents"/>
              <w:bidi w:val="0"/>
              <w:spacing w:before="0" w:after="283"/>
              <w:jc w:val="left"/>
              <w:rPr/>
            </w:pPr>
            <w:r>
              <w:rPr/>
              <w:t> </w:t>
            </w:r>
          </w:p>
        </w:tc>
        <w:tc>
          <w:tcPr>
            <w:tcW w:w="60" w:type="dxa"/>
            <w:tcBorders>
              <w:top w:val="single" w:sz="2" w:space="0" w:color="000000"/>
            </w:tcBorders>
            <w:tcMar>
              <w:top w:w="28" w:type="dxa"/>
            </w:tcMar>
            <w:vAlign w:val="center"/>
          </w:tcPr>
          <w:p>
            <w:pPr>
              <w:pStyle w:val="TableContents"/>
              <w:bidi w:val="0"/>
              <w:spacing w:before="0" w:after="283"/>
              <w:jc w:val="left"/>
              <w:rPr/>
            </w:pPr>
            <w:r>
              <w:rPr/>
              <w:t> </w:t>
            </w:r>
          </w:p>
        </w:tc>
        <w:tc>
          <w:tcPr>
            <w:tcW w:w="60" w:type="dxa"/>
            <w:tcBorders>
              <w:top w:val="single" w:sz="2" w:space="0" w:color="000000"/>
            </w:tcBorders>
            <w:tcMar>
              <w:top w:w="28" w:type="dxa"/>
            </w:tcMar>
            <w:vAlign w:val="center"/>
          </w:tcPr>
          <w:p>
            <w:pPr>
              <w:pStyle w:val="TableContents"/>
              <w:bidi w:val="0"/>
              <w:spacing w:before="0" w:after="283"/>
              <w:jc w:val="left"/>
              <w:rPr/>
            </w:pPr>
            <w:r>
              <w:rPr/>
              <w:t> </w:t>
            </w:r>
          </w:p>
        </w:tc>
        <w:tc>
          <w:tcPr>
            <w:tcW w:w="125" w:type="dxa"/>
            <w:tcBorders>
              <w:top w:val="single" w:sz="2" w:space="0" w:color="000000"/>
            </w:tcBorders>
            <w:tcMar>
              <w:top w:w="28" w:type="dxa"/>
            </w:tcMar>
            <w:vAlign w:val="center"/>
          </w:tcPr>
          <w:p>
            <w:pPr>
              <w:pStyle w:val="TableContents"/>
              <w:bidi w:val="0"/>
              <w:spacing w:before="0" w:after="283"/>
              <w:jc w:val="left"/>
              <w:rPr/>
            </w:pPr>
            <w:r>
              <w:rPr/>
              <w:t> </w:t>
            </w:r>
          </w:p>
        </w:tc>
        <w:tc>
          <w:tcPr>
            <w:tcW w:w="845" w:type="dxa"/>
            <w:tcBorders>
              <w:top w:val="single" w:sz="2" w:space="0" w:color="000000"/>
            </w:tcBorders>
            <w:tcMar>
              <w:top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Common </w:t>
            </w:r>
          </w:p>
        </w:tc>
        <w:tc>
          <w:tcPr>
            <w:tcW w:w="60" w:type="dxa"/>
            <w:tcBorders>
              <w:top w:val="single" w:sz="2" w:space="0" w:color="000000"/>
            </w:tcBorders>
            <w:tcMar>
              <w:top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15" w:type="dxa"/>
            <w:gridSpan w:val="2"/>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0"/>
              <w:ind w:left="0" w:right="0" w:hanging="0"/>
              <w:jc w:val="center"/>
              <w:rPr>
                <w:caps w:val="false"/>
                <w:smallCaps w:val="false"/>
              </w:rPr>
            </w:pPr>
            <w:r>
              <w:rPr>
                <w:caps w:val="false"/>
                <w:smallCaps w:val="false"/>
              </w:rPr>
              <w:t> </w:t>
            </w:r>
          </w:p>
        </w:tc>
        <w:tc>
          <w:tcPr>
            <w:tcW w:w="95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 of</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5" w:type="dxa"/>
            <w:tcBorders/>
            <w:vAlign w:val="center"/>
          </w:tcPr>
          <w:p>
            <w:pPr>
              <w:pStyle w:val="TableContents"/>
              <w:bidi w:val="0"/>
              <w:spacing w:before="0" w:after="0"/>
              <w:ind w:left="0" w:right="0" w:hanging="0"/>
              <w:jc w:val="center"/>
              <w:rPr>
                <w:caps w:val="false"/>
                <w:smallCaps w:val="false"/>
              </w:rPr>
            </w:pPr>
            <w:r>
              <w:rPr>
                <w:caps w:val="false"/>
                <w:smallCaps w:val="false"/>
              </w:rPr>
              <w:t> </w:t>
            </w:r>
          </w:p>
        </w:tc>
        <w:tc>
          <w:tcPr>
            <w:tcW w:w="84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center"/>
              <w:rPr/>
            </w:pPr>
            <w:r>
              <w:rPr/>
              <w:t> </w:t>
            </w:r>
            <w:r>
              <w:rPr>
                <w:rFonts w:ascii="Times New Roman;Times;serif" w:hAnsi="Times New Roman;Times;serif"/>
                <w:b/>
                <w:sz w:val="20"/>
              </w:rPr>
              <w:t>Accumulated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950" w:type="dxa"/>
            <w:tcBorders>
              <w:bottom w:val="single" w:sz="2" w:space="0" w:color="000000"/>
            </w:tcBorders>
            <w:tcMar>
              <w:bottom w:w="28" w:type="dxa"/>
            </w:tcMar>
            <w:vAlign w:val="center"/>
          </w:tcPr>
          <w:p>
            <w:pPr>
              <w:pStyle w:val="TableContents"/>
              <w:bidi w:val="0"/>
              <w:spacing w:before="0" w:after="283"/>
              <w:jc w:val="center"/>
              <w:rPr/>
            </w:pPr>
            <w:r>
              <w:rPr/>
              <w:t> </w:t>
            </w:r>
            <w:r>
              <w:rPr>
                <w:rFonts w:ascii="Times New Roman;Times;serif" w:hAnsi="Times New Roman;Times;serif"/>
                <w:b/>
                <w:sz w:val="20"/>
              </w:rPr>
              <w:t>Shares</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tcMar>
              <w:bottom w:w="28" w:type="dxa"/>
            </w:tcMar>
            <w:vAlign w:val="center"/>
          </w:tcPr>
          <w:p>
            <w:pPr>
              <w:pStyle w:val="TableContents"/>
              <w:bidi w:val="0"/>
              <w:spacing w:before="0" w:after="283"/>
              <w:jc w:val="left"/>
              <w:rPr/>
            </w:pPr>
            <w:r>
              <w:rPr/>
              <w:t> </w:t>
            </w:r>
          </w:p>
        </w:tc>
        <w:tc>
          <w:tcPr>
            <w:tcW w:w="845" w:type="dxa"/>
            <w:tcBorders>
              <w:bottom w:val="single" w:sz="2" w:space="0" w:color="000000"/>
            </w:tcBorders>
            <w:tcMar>
              <w:bottom w:w="28" w:type="dxa"/>
            </w:tcMar>
            <w:vAlign w:val="center"/>
          </w:tcPr>
          <w:p>
            <w:pPr>
              <w:pStyle w:val="TableContents"/>
              <w:bidi w:val="0"/>
              <w:spacing w:before="0" w:after="283"/>
              <w:jc w:val="center"/>
              <w:rPr/>
            </w:pPr>
            <w:r>
              <w:rPr/>
              <w:t> </w:t>
            </w:r>
            <w:r>
              <w:rPr>
                <w:rFonts w:ascii="Times New Roman;Times;serif" w:hAnsi="Times New Roman;Times;serif"/>
                <w:b/>
                <w:sz w:val="20"/>
              </w:rPr>
              <w:t>Amount</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tcMar>
              <w:bottom w:w="28" w:type="dxa"/>
            </w:tcMar>
            <w:vAlign w:val="center"/>
          </w:tcPr>
          <w:p>
            <w:pPr>
              <w:pStyle w:val="TableContents"/>
              <w:bidi w:val="0"/>
              <w:spacing w:before="0" w:after="283"/>
              <w:jc w:val="left"/>
              <w:rPr/>
            </w:pPr>
            <w:r>
              <w:rPr/>
              <w:t> </w:t>
            </w:r>
          </w:p>
        </w:tc>
        <w:tc>
          <w:tcPr>
            <w:tcW w:w="1190" w:type="dxa"/>
            <w:tcBorders>
              <w:bottom w:val="single" w:sz="2" w:space="0" w:color="000000"/>
            </w:tcBorders>
            <w:tcMar>
              <w:bottom w:w="28" w:type="dxa"/>
            </w:tcMar>
            <w:vAlign w:val="center"/>
          </w:tcPr>
          <w:p>
            <w:pPr>
              <w:pStyle w:val="TableContents"/>
              <w:bidi w:val="0"/>
              <w:spacing w:before="0" w:after="283"/>
              <w:jc w:val="center"/>
              <w:rPr/>
            </w:pPr>
            <w:r>
              <w:rPr/>
              <w:t> </w:t>
            </w:r>
            <w:r>
              <w:rPr>
                <w:rFonts w:ascii="Times New Roman;Times;serif" w:hAnsi="Times New Roman;Times;serif"/>
                <w:b/>
                <w:sz w:val="20"/>
              </w:rPr>
              <w:t>Deficit</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March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30,487,731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276,434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(101,721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174,713</w:t>
            </w:r>
          </w:p>
        </w:tc>
        <w:tc>
          <w:tcPr>
            <w:tcW w:w="80" w:type="dxa"/>
            <w:tcBorders/>
            <w:shd w:fill="CCEEFF"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1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8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Share-based compensation expense</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June 30, 2025</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30,487,731</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276,541</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(103,477</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173,064</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7520" w:type="dxa"/>
        <w:jc w:val="left"/>
        <w:tblInd w:w="0" w:type="dxa"/>
        <w:tblLayout w:type="fixed"/>
        <w:tblCellMar>
          <w:top w:w="0" w:type="dxa"/>
          <w:left w:w="0" w:type="dxa"/>
          <w:bottom w:w="0" w:type="dxa"/>
          <w:right w:w="0" w:type="dxa"/>
        </w:tblCellMar>
      </w:tblPr>
      <w:tblGrid>
        <w:gridCol w:w="2885"/>
        <w:gridCol w:w="60"/>
        <w:gridCol w:w="60"/>
        <w:gridCol w:w="950"/>
        <w:gridCol w:w="60"/>
        <w:gridCol w:w="60"/>
        <w:gridCol w:w="125"/>
        <w:gridCol w:w="845"/>
        <w:gridCol w:w="60"/>
        <w:gridCol w:w="60"/>
        <w:gridCol w:w="125"/>
        <w:gridCol w:w="1190"/>
        <w:gridCol w:w="80"/>
        <w:gridCol w:w="60"/>
        <w:gridCol w:w="125"/>
        <w:gridCol w:w="695"/>
        <w:gridCol w:w="80"/>
      </w:tblGrid>
      <w:tr>
        <w:trPr/>
        <w:tc>
          <w:tcPr>
            <w:tcW w:w="28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top w:val="single" w:sz="2" w:space="0" w:color="000000"/>
            </w:tcBorders>
            <w:tcMar>
              <w:top w:w="28" w:type="dxa"/>
            </w:tcMar>
            <w:vAlign w:val="center"/>
          </w:tcPr>
          <w:p>
            <w:pPr>
              <w:pStyle w:val="TableContents"/>
              <w:bidi w:val="0"/>
              <w:spacing w:before="0" w:after="283"/>
              <w:jc w:val="left"/>
              <w:rPr/>
            </w:pPr>
            <w:r>
              <w:rPr/>
              <w:t> </w:t>
            </w:r>
          </w:p>
        </w:tc>
        <w:tc>
          <w:tcPr>
            <w:tcW w:w="950" w:type="dxa"/>
            <w:tcBorders>
              <w:top w:val="single" w:sz="2" w:space="0" w:color="000000"/>
            </w:tcBorders>
            <w:tcMar>
              <w:top w:w="28" w:type="dxa"/>
            </w:tcMar>
            <w:vAlign w:val="center"/>
          </w:tcPr>
          <w:p>
            <w:pPr>
              <w:pStyle w:val="TableContents"/>
              <w:bidi w:val="0"/>
              <w:spacing w:before="0" w:after="283"/>
              <w:jc w:val="left"/>
              <w:rPr/>
            </w:pPr>
            <w:r>
              <w:rPr/>
              <w:t> </w:t>
            </w:r>
          </w:p>
        </w:tc>
        <w:tc>
          <w:tcPr>
            <w:tcW w:w="60" w:type="dxa"/>
            <w:tcBorders>
              <w:top w:val="single" w:sz="2" w:space="0" w:color="000000"/>
            </w:tcBorders>
            <w:tcMar>
              <w:top w:w="28" w:type="dxa"/>
            </w:tcMar>
            <w:vAlign w:val="center"/>
          </w:tcPr>
          <w:p>
            <w:pPr>
              <w:pStyle w:val="TableContents"/>
              <w:bidi w:val="0"/>
              <w:spacing w:before="0" w:after="283"/>
              <w:jc w:val="left"/>
              <w:rPr/>
            </w:pPr>
            <w:r>
              <w:rPr/>
              <w:t> </w:t>
            </w:r>
          </w:p>
        </w:tc>
        <w:tc>
          <w:tcPr>
            <w:tcW w:w="60" w:type="dxa"/>
            <w:tcBorders>
              <w:top w:val="single" w:sz="2" w:space="0" w:color="000000"/>
            </w:tcBorders>
            <w:tcMar>
              <w:top w:w="28" w:type="dxa"/>
            </w:tcMar>
            <w:vAlign w:val="center"/>
          </w:tcPr>
          <w:p>
            <w:pPr>
              <w:pStyle w:val="TableContents"/>
              <w:bidi w:val="0"/>
              <w:spacing w:before="0" w:after="283"/>
              <w:jc w:val="left"/>
              <w:rPr/>
            </w:pPr>
            <w:r>
              <w:rPr/>
              <w:t> </w:t>
            </w:r>
          </w:p>
        </w:tc>
        <w:tc>
          <w:tcPr>
            <w:tcW w:w="125" w:type="dxa"/>
            <w:tcBorders>
              <w:top w:val="single" w:sz="2" w:space="0" w:color="000000"/>
            </w:tcBorders>
            <w:tcMar>
              <w:top w:w="28" w:type="dxa"/>
            </w:tcMar>
            <w:vAlign w:val="center"/>
          </w:tcPr>
          <w:p>
            <w:pPr>
              <w:pStyle w:val="TableContents"/>
              <w:bidi w:val="0"/>
              <w:spacing w:before="0" w:after="283"/>
              <w:ind w:left="0" w:right="0" w:hanging="0"/>
              <w:jc w:val="left"/>
              <w:rPr/>
            </w:pPr>
            <w:r>
              <w:rPr/>
              <w:t> </w:t>
            </w:r>
          </w:p>
        </w:tc>
        <w:tc>
          <w:tcPr>
            <w:tcW w:w="845" w:type="dxa"/>
            <w:tcBorders>
              <w:top w:val="single" w:sz="2" w:space="0" w:color="000000"/>
            </w:tcBorders>
            <w:tcMar>
              <w:top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Common </w:t>
            </w:r>
          </w:p>
        </w:tc>
        <w:tc>
          <w:tcPr>
            <w:tcW w:w="60" w:type="dxa"/>
            <w:tcBorders>
              <w:top w:val="single" w:sz="2" w:space="0" w:color="000000"/>
            </w:tcBorders>
            <w:tcMar>
              <w:top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15" w:type="dxa"/>
            <w:gridSpan w:val="2"/>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0"/>
              <w:ind w:left="0" w:right="0" w:hanging="0"/>
              <w:jc w:val="center"/>
              <w:rPr>
                <w:caps w:val="false"/>
                <w:smallCaps w:val="false"/>
              </w:rPr>
            </w:pPr>
            <w:r>
              <w:rPr>
                <w:caps w:val="false"/>
                <w:smallCaps w:val="false"/>
              </w:rPr>
              <w:t> </w:t>
            </w:r>
          </w:p>
        </w:tc>
        <w:tc>
          <w:tcPr>
            <w:tcW w:w="95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 of</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5" w:type="dxa"/>
            <w:tcBorders/>
            <w:vAlign w:val="center"/>
          </w:tcPr>
          <w:p>
            <w:pPr>
              <w:pStyle w:val="TableContents"/>
              <w:bidi w:val="0"/>
              <w:spacing w:before="0" w:after="0"/>
              <w:ind w:left="0" w:right="0" w:hanging="0"/>
              <w:jc w:val="center"/>
              <w:rPr>
                <w:caps w:val="false"/>
                <w:smallCaps w:val="false"/>
              </w:rPr>
            </w:pPr>
            <w:r>
              <w:rPr>
                <w:caps w:val="false"/>
                <w:smallCaps w:val="false"/>
              </w:rPr>
              <w:t> </w:t>
            </w:r>
          </w:p>
        </w:tc>
        <w:tc>
          <w:tcPr>
            <w:tcW w:w="84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center"/>
              <w:rPr/>
            </w:pPr>
            <w:r>
              <w:rPr/>
              <w:t> </w:t>
            </w:r>
            <w:r>
              <w:rPr>
                <w:rFonts w:ascii="Times New Roman;Times;serif" w:hAnsi="Times New Roman;Times;serif"/>
                <w:b/>
                <w:sz w:val="20"/>
              </w:rPr>
              <w:t>Accumulated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950" w:type="dxa"/>
            <w:tcBorders>
              <w:bottom w:val="single" w:sz="2" w:space="0" w:color="000000"/>
            </w:tcBorders>
            <w:tcMar>
              <w:bottom w:w="28" w:type="dxa"/>
            </w:tcMar>
            <w:vAlign w:val="center"/>
          </w:tcPr>
          <w:p>
            <w:pPr>
              <w:pStyle w:val="TableContents"/>
              <w:bidi w:val="0"/>
              <w:spacing w:before="0" w:after="283"/>
              <w:jc w:val="center"/>
              <w:rPr/>
            </w:pPr>
            <w:r>
              <w:rPr/>
              <w:t> </w:t>
            </w:r>
            <w:r>
              <w:rPr>
                <w:rFonts w:ascii="Times New Roman;Times;serif" w:hAnsi="Times New Roman;Times;serif"/>
                <w:b/>
                <w:sz w:val="20"/>
              </w:rPr>
              <w:t>Shares</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tcMar>
              <w:bottom w:w="28" w:type="dxa"/>
            </w:tcMar>
            <w:vAlign w:val="center"/>
          </w:tcPr>
          <w:p>
            <w:pPr>
              <w:pStyle w:val="TableContents"/>
              <w:bidi w:val="0"/>
              <w:spacing w:before="0" w:after="283"/>
              <w:jc w:val="left"/>
              <w:rPr/>
            </w:pPr>
            <w:r>
              <w:rPr/>
              <w:t> </w:t>
            </w:r>
          </w:p>
        </w:tc>
        <w:tc>
          <w:tcPr>
            <w:tcW w:w="845" w:type="dxa"/>
            <w:tcBorders>
              <w:bottom w:val="single" w:sz="2" w:space="0" w:color="000000"/>
            </w:tcBorders>
            <w:tcMar>
              <w:bottom w:w="28" w:type="dxa"/>
            </w:tcMar>
            <w:vAlign w:val="center"/>
          </w:tcPr>
          <w:p>
            <w:pPr>
              <w:pStyle w:val="TableContents"/>
              <w:bidi w:val="0"/>
              <w:spacing w:before="0" w:after="283"/>
              <w:jc w:val="center"/>
              <w:rPr/>
            </w:pPr>
            <w:r>
              <w:rPr/>
              <w:t> </w:t>
            </w:r>
            <w:r>
              <w:rPr>
                <w:rFonts w:ascii="Times New Roman;Times;serif" w:hAnsi="Times New Roman;Times;serif"/>
                <w:b/>
                <w:sz w:val="20"/>
              </w:rPr>
              <w:t>Amount</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tcMar>
              <w:bottom w:w="28" w:type="dxa"/>
            </w:tcMar>
            <w:vAlign w:val="center"/>
          </w:tcPr>
          <w:p>
            <w:pPr>
              <w:pStyle w:val="TableContents"/>
              <w:bidi w:val="0"/>
              <w:spacing w:before="0" w:after="283"/>
              <w:jc w:val="left"/>
              <w:rPr/>
            </w:pPr>
            <w:r>
              <w:rPr/>
              <w:t> </w:t>
            </w:r>
          </w:p>
        </w:tc>
        <w:tc>
          <w:tcPr>
            <w:tcW w:w="1190" w:type="dxa"/>
            <w:tcBorders>
              <w:bottom w:val="single" w:sz="2" w:space="0" w:color="000000"/>
            </w:tcBorders>
            <w:tcMar>
              <w:bottom w:w="28" w:type="dxa"/>
            </w:tcMar>
            <w:vAlign w:val="center"/>
          </w:tcPr>
          <w:p>
            <w:pPr>
              <w:pStyle w:val="TableContents"/>
              <w:bidi w:val="0"/>
              <w:spacing w:before="0" w:after="283"/>
              <w:jc w:val="center"/>
              <w:rPr/>
            </w:pPr>
            <w:r>
              <w:rPr/>
              <w:t> </w:t>
            </w:r>
            <w:r>
              <w:rPr>
                <w:rFonts w:ascii="Times New Roman;Times;serif" w:hAnsi="Times New Roman;Times;serif"/>
                <w:b/>
                <w:sz w:val="20"/>
              </w:rPr>
              <w:t>Deficit</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30,487,731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276,727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(136,377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140,350</w:t>
            </w:r>
          </w:p>
        </w:tc>
        <w:tc>
          <w:tcPr>
            <w:tcW w:w="80" w:type="dxa"/>
            <w:tcBorders/>
            <w:shd w:fill="CCEEFF"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1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(12,233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(12,233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8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Share-based compensation expense</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344</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344</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June 30, 2026</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30,487,731</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277,071</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(148,610</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128,461</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7520" w:type="dxa"/>
        <w:jc w:val="left"/>
        <w:tblInd w:w="0" w:type="dxa"/>
        <w:tblLayout w:type="fixed"/>
        <w:tblCellMar>
          <w:top w:w="0" w:type="dxa"/>
          <w:left w:w="0" w:type="dxa"/>
          <w:bottom w:w="0" w:type="dxa"/>
          <w:right w:w="0" w:type="dxa"/>
        </w:tblCellMar>
      </w:tblPr>
      <w:tblGrid>
        <w:gridCol w:w="2885"/>
        <w:gridCol w:w="60"/>
        <w:gridCol w:w="60"/>
        <w:gridCol w:w="950"/>
        <w:gridCol w:w="60"/>
        <w:gridCol w:w="60"/>
        <w:gridCol w:w="125"/>
        <w:gridCol w:w="845"/>
        <w:gridCol w:w="60"/>
        <w:gridCol w:w="60"/>
        <w:gridCol w:w="125"/>
        <w:gridCol w:w="1190"/>
        <w:gridCol w:w="80"/>
        <w:gridCol w:w="60"/>
        <w:gridCol w:w="125"/>
        <w:gridCol w:w="695"/>
        <w:gridCol w:w="80"/>
      </w:tblGrid>
      <w:tr>
        <w:trPr/>
        <w:tc>
          <w:tcPr>
            <w:tcW w:w="28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top w:val="single" w:sz="2" w:space="0" w:color="000000"/>
            </w:tcBorders>
            <w:tcMar>
              <w:top w:w="28" w:type="dxa"/>
            </w:tcMar>
            <w:vAlign w:val="center"/>
          </w:tcPr>
          <w:p>
            <w:pPr>
              <w:pStyle w:val="TableContents"/>
              <w:bidi w:val="0"/>
              <w:spacing w:before="0" w:after="283"/>
              <w:jc w:val="left"/>
              <w:rPr/>
            </w:pPr>
            <w:r>
              <w:rPr/>
              <w:t> </w:t>
            </w:r>
          </w:p>
        </w:tc>
        <w:tc>
          <w:tcPr>
            <w:tcW w:w="950" w:type="dxa"/>
            <w:tcBorders>
              <w:top w:val="single" w:sz="2" w:space="0" w:color="000000"/>
            </w:tcBorders>
            <w:tcMar>
              <w:top w:w="28" w:type="dxa"/>
            </w:tcMar>
            <w:vAlign w:val="center"/>
          </w:tcPr>
          <w:p>
            <w:pPr>
              <w:pStyle w:val="TableContents"/>
              <w:bidi w:val="0"/>
              <w:spacing w:before="0" w:after="283"/>
              <w:jc w:val="left"/>
              <w:rPr/>
            </w:pPr>
            <w:r>
              <w:rPr/>
              <w:t> </w:t>
            </w:r>
          </w:p>
        </w:tc>
        <w:tc>
          <w:tcPr>
            <w:tcW w:w="60" w:type="dxa"/>
            <w:tcBorders>
              <w:top w:val="single" w:sz="2" w:space="0" w:color="000000"/>
            </w:tcBorders>
            <w:tcMar>
              <w:top w:w="28" w:type="dxa"/>
            </w:tcMar>
            <w:vAlign w:val="center"/>
          </w:tcPr>
          <w:p>
            <w:pPr>
              <w:pStyle w:val="TableContents"/>
              <w:bidi w:val="0"/>
              <w:spacing w:before="0" w:after="283"/>
              <w:jc w:val="left"/>
              <w:rPr/>
            </w:pPr>
            <w:r>
              <w:rPr/>
              <w:t> </w:t>
            </w:r>
          </w:p>
        </w:tc>
        <w:tc>
          <w:tcPr>
            <w:tcW w:w="60" w:type="dxa"/>
            <w:tcBorders>
              <w:top w:val="single" w:sz="2" w:space="0" w:color="000000"/>
            </w:tcBorders>
            <w:tcMar>
              <w:top w:w="28" w:type="dxa"/>
            </w:tcMar>
            <w:vAlign w:val="center"/>
          </w:tcPr>
          <w:p>
            <w:pPr>
              <w:pStyle w:val="TableContents"/>
              <w:bidi w:val="0"/>
              <w:spacing w:before="0" w:after="283"/>
              <w:jc w:val="left"/>
              <w:rPr/>
            </w:pPr>
            <w:r>
              <w:rPr/>
              <w:t> </w:t>
            </w:r>
          </w:p>
        </w:tc>
        <w:tc>
          <w:tcPr>
            <w:tcW w:w="125" w:type="dxa"/>
            <w:tcBorders>
              <w:top w:val="single" w:sz="2" w:space="0" w:color="000000"/>
            </w:tcBorders>
            <w:tcMar>
              <w:top w:w="28" w:type="dxa"/>
            </w:tcMar>
            <w:vAlign w:val="center"/>
          </w:tcPr>
          <w:p>
            <w:pPr>
              <w:pStyle w:val="TableContents"/>
              <w:bidi w:val="0"/>
              <w:spacing w:before="0" w:after="283"/>
              <w:ind w:left="0" w:right="0" w:hanging="0"/>
              <w:jc w:val="left"/>
              <w:rPr/>
            </w:pPr>
            <w:r>
              <w:rPr/>
              <w:t> </w:t>
            </w:r>
          </w:p>
        </w:tc>
        <w:tc>
          <w:tcPr>
            <w:tcW w:w="845" w:type="dxa"/>
            <w:tcBorders>
              <w:top w:val="single" w:sz="2" w:space="0" w:color="000000"/>
            </w:tcBorders>
            <w:tcMar>
              <w:top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Common </w:t>
            </w:r>
          </w:p>
        </w:tc>
        <w:tc>
          <w:tcPr>
            <w:tcW w:w="60" w:type="dxa"/>
            <w:tcBorders>
              <w:top w:val="single" w:sz="2" w:space="0" w:color="000000"/>
            </w:tcBorders>
            <w:tcMar>
              <w:top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15" w:type="dxa"/>
            <w:gridSpan w:val="2"/>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0"/>
              <w:ind w:left="0" w:right="0" w:hanging="0"/>
              <w:jc w:val="center"/>
              <w:rPr>
                <w:caps w:val="false"/>
                <w:smallCaps w:val="false"/>
              </w:rPr>
            </w:pPr>
            <w:r>
              <w:rPr>
                <w:caps w:val="false"/>
                <w:smallCaps w:val="false"/>
              </w:rPr>
              <w:t> </w:t>
            </w:r>
          </w:p>
        </w:tc>
        <w:tc>
          <w:tcPr>
            <w:tcW w:w="95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 of</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5" w:type="dxa"/>
            <w:tcBorders/>
            <w:vAlign w:val="center"/>
          </w:tcPr>
          <w:p>
            <w:pPr>
              <w:pStyle w:val="TableContents"/>
              <w:bidi w:val="0"/>
              <w:spacing w:before="0" w:after="0"/>
              <w:ind w:left="0" w:right="0" w:hanging="0"/>
              <w:jc w:val="center"/>
              <w:rPr>
                <w:caps w:val="false"/>
                <w:smallCaps w:val="false"/>
              </w:rPr>
            </w:pPr>
            <w:r>
              <w:rPr>
                <w:caps w:val="false"/>
                <w:smallCaps w:val="false"/>
              </w:rPr>
              <w:t> </w:t>
            </w:r>
          </w:p>
        </w:tc>
        <w:tc>
          <w:tcPr>
            <w:tcW w:w="84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center"/>
              <w:rPr/>
            </w:pPr>
            <w:r>
              <w:rPr/>
              <w:t> </w:t>
            </w:r>
            <w:r>
              <w:rPr>
                <w:rFonts w:ascii="Times New Roman;Times;serif" w:hAnsi="Times New Roman;Times;serif"/>
                <w:b/>
                <w:sz w:val="20"/>
              </w:rPr>
              <w:t>Accumulated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950" w:type="dxa"/>
            <w:tcBorders>
              <w:bottom w:val="single" w:sz="2" w:space="0" w:color="000000"/>
            </w:tcBorders>
            <w:tcMar>
              <w:bottom w:w="28" w:type="dxa"/>
            </w:tcMar>
            <w:vAlign w:val="center"/>
          </w:tcPr>
          <w:p>
            <w:pPr>
              <w:pStyle w:val="TableContents"/>
              <w:bidi w:val="0"/>
              <w:spacing w:before="0" w:after="283"/>
              <w:jc w:val="center"/>
              <w:rPr/>
            </w:pPr>
            <w:r>
              <w:rPr/>
              <w:t> </w:t>
            </w:r>
            <w:r>
              <w:rPr>
                <w:rFonts w:ascii="Times New Roman;Times;serif" w:hAnsi="Times New Roman;Times;serif"/>
                <w:b/>
                <w:sz w:val="20"/>
              </w:rPr>
              <w:t>Shares</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tcMar>
              <w:bottom w:w="28" w:type="dxa"/>
            </w:tcMar>
            <w:vAlign w:val="center"/>
          </w:tcPr>
          <w:p>
            <w:pPr>
              <w:pStyle w:val="TableContents"/>
              <w:bidi w:val="0"/>
              <w:spacing w:before="0" w:after="283"/>
              <w:jc w:val="left"/>
              <w:rPr/>
            </w:pPr>
            <w:r>
              <w:rPr/>
              <w:t> </w:t>
            </w:r>
          </w:p>
        </w:tc>
        <w:tc>
          <w:tcPr>
            <w:tcW w:w="845" w:type="dxa"/>
            <w:tcBorders>
              <w:bottom w:val="single" w:sz="2" w:space="0" w:color="000000"/>
            </w:tcBorders>
            <w:tcMar>
              <w:bottom w:w="28" w:type="dxa"/>
            </w:tcMar>
            <w:vAlign w:val="center"/>
          </w:tcPr>
          <w:p>
            <w:pPr>
              <w:pStyle w:val="TableContents"/>
              <w:bidi w:val="0"/>
              <w:spacing w:before="0" w:after="283"/>
              <w:jc w:val="center"/>
              <w:rPr/>
            </w:pPr>
            <w:r>
              <w:rPr/>
              <w:t> </w:t>
            </w:r>
            <w:r>
              <w:rPr>
                <w:rFonts w:ascii="Times New Roman;Times;serif" w:hAnsi="Times New Roman;Times;serif"/>
                <w:b/>
                <w:sz w:val="20"/>
              </w:rPr>
              <w:t>Amount</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tcMar>
              <w:bottom w:w="28" w:type="dxa"/>
            </w:tcMar>
            <w:vAlign w:val="center"/>
          </w:tcPr>
          <w:p>
            <w:pPr>
              <w:pStyle w:val="TableContents"/>
              <w:bidi w:val="0"/>
              <w:spacing w:before="0" w:after="283"/>
              <w:jc w:val="left"/>
              <w:rPr/>
            </w:pPr>
            <w:r>
              <w:rPr/>
              <w:t> </w:t>
            </w:r>
          </w:p>
        </w:tc>
        <w:tc>
          <w:tcPr>
            <w:tcW w:w="1190" w:type="dxa"/>
            <w:tcBorders>
              <w:bottom w:val="single" w:sz="2" w:space="0" w:color="000000"/>
            </w:tcBorders>
            <w:tcMar>
              <w:bottom w:w="28" w:type="dxa"/>
            </w:tcMar>
            <w:vAlign w:val="center"/>
          </w:tcPr>
          <w:p>
            <w:pPr>
              <w:pStyle w:val="TableContents"/>
              <w:bidi w:val="0"/>
              <w:spacing w:before="0" w:after="283"/>
              <w:jc w:val="center"/>
              <w:rPr/>
            </w:pPr>
            <w:r>
              <w:rPr/>
              <w:t> </w:t>
            </w:r>
            <w:r>
              <w:rPr>
                <w:rFonts w:ascii="Times New Roman;Times;serif" w:hAnsi="Times New Roman;Times;serif"/>
                <w:b/>
                <w:sz w:val="20"/>
              </w:rPr>
              <w:t>Deficit</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30,487,731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273,105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(90,837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182,268</w:t>
            </w:r>
          </w:p>
        </w:tc>
        <w:tc>
          <w:tcPr>
            <w:tcW w:w="80" w:type="dxa"/>
            <w:tcBorders/>
            <w:shd w:fill="CCEEFF"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1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(12,640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(12,640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8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Share-based compensation expense</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3,436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3,436</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June 30, 2025</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30,487,731</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276,541</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(103,477</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173,064</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 xml:space="preserve">See accompanying notes to unaudited condensed consolidated financial statements.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83"/>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XBiotech Inc.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Condensed Consolidated Statements of Cash Flows (unaudited)</w:t>
      </w:r>
      <w:bookmarkStart w:id="6" w:name="Condensed_Consolidated_Statements_of_Cas"/>
      <w:bookmarkEnd w:id="6"/>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w:t>
      </w:r>
    </w:p>
    <w:p>
      <w:pPr>
        <w:pStyle w:val="TextBody"/>
        <w:bidi w:val="0"/>
        <w:spacing w:before="0" w:after="0"/>
        <w:ind w:left="0" w:right="0" w:hanging="0"/>
        <w:jc w:val="left"/>
        <w:rPr>
          <w:caps w:val="false"/>
          <w:smallCaps w:val="false"/>
        </w:rPr>
      </w:pPr>
      <w:r>
        <w:rPr>
          <w:caps w:val="false"/>
          <w:smallCaps w:val="false"/>
        </w:rPr>
        <w:t> </w:t>
      </w:r>
    </w:p>
    <w:tbl>
      <w:tblPr>
        <w:tblW w:w="8368" w:type="dxa"/>
        <w:jc w:val="left"/>
        <w:tblInd w:w="0" w:type="dxa"/>
        <w:tblLayout w:type="fixed"/>
        <w:tblCellMar>
          <w:top w:w="0" w:type="dxa"/>
          <w:left w:w="0" w:type="dxa"/>
          <w:bottom w:w="0" w:type="dxa"/>
          <w:right w:w="0" w:type="dxa"/>
        </w:tblCellMar>
      </w:tblPr>
      <w:tblGrid>
        <w:gridCol w:w="5930"/>
        <w:gridCol w:w="60"/>
        <w:gridCol w:w="161"/>
        <w:gridCol w:w="898"/>
        <w:gridCol w:w="103"/>
        <w:gridCol w:w="77"/>
        <w:gridCol w:w="161"/>
        <w:gridCol w:w="898"/>
        <w:gridCol w:w="80"/>
      </w:tblGrid>
      <w:tr>
        <w:trPr/>
        <w:tc>
          <w:tcPr>
            <w:tcW w:w="59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98"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80" w:type="dxa"/>
            <w:tcBorders/>
            <w:vAlign w:val="center"/>
          </w:tcPr>
          <w:p>
            <w:pPr>
              <w:pStyle w:val="TableContents"/>
              <w:bidi w:val="0"/>
              <w:spacing w:before="0" w:after="283"/>
              <w:jc w:val="left"/>
              <w:rPr/>
            </w:pPr>
            <w:r>
              <w:rPr/>
              <w:t> </w:t>
            </w:r>
          </w:p>
        </w:tc>
      </w:tr>
      <w:tr>
        <w:trPr/>
        <w:tc>
          <w:tcPr>
            <w:tcW w:w="59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5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03"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ind w:left="0" w:right="0" w:hanging="0"/>
              <w:jc w:val="left"/>
              <w:rPr/>
            </w:pPr>
            <w:r>
              <w:rPr/>
              <w:t> </w:t>
            </w:r>
          </w:p>
        </w:tc>
        <w:tc>
          <w:tcPr>
            <w:tcW w:w="105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r>
      <w:tr>
        <w:trPr/>
        <w:tc>
          <w:tcPr>
            <w:tcW w:w="59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103" w:type="dxa"/>
            <w:tcBorders>
              <w:bottom w:val="single" w:sz="2" w:space="0" w:color="000000"/>
            </w:tcBorders>
            <w:tcMar>
              <w:bottom w:w="28" w:type="dxa"/>
            </w:tcMar>
            <w:vAlign w:val="center"/>
          </w:tcPr>
          <w:p>
            <w:pPr>
              <w:pStyle w:val="TableContents"/>
              <w:bidi w:val="0"/>
              <w:spacing w:before="0" w:after="283"/>
              <w:jc w:val="left"/>
              <w:rPr/>
            </w:pPr>
            <w:r>
              <w:rPr/>
              <w:t> </w:t>
            </w:r>
          </w:p>
        </w:tc>
        <w:tc>
          <w:tcPr>
            <w:tcW w:w="77"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0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Operating activities</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9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FFFFFF" w:val="clear"/>
            <w:vAlign w:val="center"/>
          </w:tcPr>
          <w:p>
            <w:pPr>
              <w:pStyle w:val="TableContents"/>
              <w:bidi w:val="0"/>
              <w:spacing w:before="0" w:after="283"/>
              <w:ind w:left="0" w:right="0" w:hanging="0"/>
              <w:jc w:val="left"/>
              <w:rPr/>
            </w:pPr>
            <w:r>
              <w:rPr/>
              <w:t> </w:t>
            </w:r>
          </w:p>
        </w:tc>
        <w:tc>
          <w:tcPr>
            <w:tcW w:w="16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(12,233</w:t>
            </w:r>
          </w:p>
        </w:tc>
        <w:tc>
          <w:tcPr>
            <w:tcW w:w="10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7" w:type="dxa"/>
            <w:tcBorders/>
            <w:shd w:fill="FFFFFF" w:val="clear"/>
            <w:vAlign w:val="center"/>
          </w:tcPr>
          <w:p>
            <w:pPr>
              <w:pStyle w:val="TableContents"/>
              <w:bidi w:val="0"/>
              <w:spacing w:before="0" w:after="283"/>
              <w:ind w:left="0" w:right="0" w:hanging="0"/>
              <w:jc w:val="left"/>
              <w:rPr/>
            </w:pPr>
            <w:r>
              <w:rPr/>
              <w:t> </w:t>
            </w:r>
          </w:p>
        </w:tc>
        <w:tc>
          <w:tcPr>
            <w:tcW w:w="16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(12,640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Adjustments to reconcile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93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8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634</w:t>
            </w:r>
          </w:p>
        </w:tc>
        <w:tc>
          <w:tcPr>
            <w:tcW w:w="10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8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881</w:t>
            </w:r>
          </w:p>
        </w:tc>
        <w:tc>
          <w:tcPr>
            <w:tcW w:w="80" w:type="dxa"/>
            <w:tcBorders/>
            <w:shd w:fill="FFFFFF" w:val="clear"/>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exchange loss (gain)</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8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2,544</w:t>
            </w:r>
          </w:p>
        </w:tc>
        <w:tc>
          <w:tcPr>
            <w:tcW w:w="10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8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(3,365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3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Share-based compensation expense</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8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344</w:t>
            </w:r>
          </w:p>
        </w:tc>
        <w:tc>
          <w:tcPr>
            <w:tcW w:w="10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8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3,436</w:t>
            </w:r>
          </w:p>
        </w:tc>
        <w:tc>
          <w:tcPr>
            <w:tcW w:w="80" w:type="dxa"/>
            <w:tcBorders/>
            <w:shd w:fill="FFFFFF" w:val="clear"/>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operating assets and liabilities:</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93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receivable</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8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10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7"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8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interest receivable</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8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w:t>
            </w:r>
          </w:p>
        </w:tc>
        <w:tc>
          <w:tcPr>
            <w:tcW w:w="10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8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w:t>
            </w:r>
          </w:p>
        </w:tc>
        <w:tc>
          <w:tcPr>
            <w:tcW w:w="80" w:type="dxa"/>
            <w:tcBorders/>
            <w:shd w:fill="CCEEFF" w:val="clear"/>
            <w:vAlign w:val="center"/>
          </w:tcPr>
          <w:p>
            <w:pPr>
              <w:pStyle w:val="TableContents"/>
              <w:bidi w:val="0"/>
              <w:spacing w:before="0" w:after="283"/>
              <w:jc w:val="left"/>
              <w:rPr/>
            </w:pPr>
            <w:r>
              <w:rPr/>
              <w:t> </w:t>
            </w:r>
          </w:p>
        </w:tc>
      </w:tr>
      <w:tr>
        <w:trPr/>
        <w:tc>
          <w:tcPr>
            <w:tcW w:w="593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8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(298</w:t>
            </w:r>
          </w:p>
        </w:tc>
        <w:tc>
          <w:tcPr>
            <w:tcW w:w="10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7"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8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3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8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(432</w:t>
            </w:r>
          </w:p>
        </w:tc>
        <w:tc>
          <w:tcPr>
            <w:tcW w:w="10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7"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8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3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expenses</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8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(4,071</w:t>
            </w:r>
          </w:p>
        </w:tc>
        <w:tc>
          <w:tcPr>
            <w:tcW w:w="10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7"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8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3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payable</w:t>
            </w:r>
          </w:p>
        </w:tc>
        <w:tc>
          <w:tcPr>
            <w:tcW w:w="60" w:type="dxa"/>
            <w:tcBorders/>
            <w:shd w:fill="CCEEFF" w:val="clear"/>
            <w:vAlign w:val="center"/>
          </w:tcPr>
          <w:p>
            <w:pPr>
              <w:pStyle w:val="TableContents"/>
              <w:bidi w:val="0"/>
              <w:spacing w:before="0" w:after="283"/>
              <w:jc w:val="left"/>
              <w:rPr/>
            </w:pPr>
            <w:r>
              <w:rPr/>
              <w:t> </w:t>
            </w:r>
          </w:p>
        </w:tc>
        <w:tc>
          <w:tcPr>
            <w:tcW w:w="16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w:t>
            </w:r>
          </w:p>
        </w:tc>
        <w:tc>
          <w:tcPr>
            <w:tcW w:w="103"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6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59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8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(13,484</w:t>
            </w:r>
          </w:p>
        </w:tc>
        <w:tc>
          <w:tcPr>
            <w:tcW w:w="10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7"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8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(12,709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93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Investing activities</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 of property and equipment</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8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0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8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Permit refund of construction in progress</w:t>
            </w:r>
          </w:p>
        </w:tc>
        <w:tc>
          <w:tcPr>
            <w:tcW w:w="60" w:type="dxa"/>
            <w:tcBorders/>
            <w:shd w:fill="FFFFFF" w:val="clear"/>
            <w:vAlign w:val="center"/>
          </w:tcPr>
          <w:p>
            <w:pPr>
              <w:pStyle w:val="TableContents"/>
              <w:bidi w:val="0"/>
              <w:spacing w:before="0" w:after="283"/>
              <w:jc w:val="left"/>
              <w:rPr/>
            </w:pPr>
            <w:r>
              <w:rPr/>
              <w:t> </w:t>
            </w:r>
          </w:p>
        </w:tc>
        <w:tc>
          <w:tcPr>
            <w:tcW w:w="16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10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6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(used in) investing activities</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8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10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8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Financing activities</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9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Payment on from convertible loan, related party</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8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0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8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Payment on convertible loan, third party</w:t>
            </w:r>
          </w:p>
        </w:tc>
        <w:tc>
          <w:tcPr>
            <w:tcW w:w="60" w:type="dxa"/>
            <w:tcBorders/>
            <w:shd w:fill="CCEEFF" w:val="clear"/>
            <w:vAlign w:val="center"/>
          </w:tcPr>
          <w:p>
            <w:pPr>
              <w:pStyle w:val="TableContents"/>
              <w:bidi w:val="0"/>
              <w:spacing w:before="0" w:after="283"/>
              <w:jc w:val="left"/>
              <w:rPr/>
            </w:pPr>
            <w:r>
              <w:rPr/>
              <w:t> </w:t>
            </w:r>
          </w:p>
        </w:tc>
        <w:tc>
          <w:tcPr>
            <w:tcW w:w="16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0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6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financing activities</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8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0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8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(10,250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9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 of foreign exchange rate on cash and cash equivalents</w:t>
            </w:r>
          </w:p>
        </w:tc>
        <w:tc>
          <w:tcPr>
            <w:tcW w:w="60" w:type="dxa"/>
            <w:tcBorders/>
            <w:shd w:fill="FFFFFF" w:val="clear"/>
            <w:vAlign w:val="center"/>
          </w:tcPr>
          <w:p>
            <w:pPr>
              <w:pStyle w:val="TableContents"/>
              <w:bidi w:val="0"/>
              <w:spacing w:before="0" w:after="283"/>
              <w:jc w:val="left"/>
              <w:rPr/>
            </w:pPr>
            <w:r>
              <w:rPr/>
              <w:t> </w:t>
            </w:r>
          </w:p>
        </w:tc>
        <w:tc>
          <w:tcPr>
            <w:tcW w:w="16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(2,544</w:t>
            </w:r>
          </w:p>
        </w:tc>
        <w:tc>
          <w:tcPr>
            <w:tcW w:w="103"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6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3,365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9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change in cash and cash equivalents</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8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(16,023</w:t>
            </w:r>
          </w:p>
        </w:tc>
        <w:tc>
          <w:tcPr>
            <w:tcW w:w="10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7"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8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(19,739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 beginning of period</w:t>
            </w:r>
          </w:p>
        </w:tc>
        <w:tc>
          <w:tcPr>
            <w:tcW w:w="60" w:type="dxa"/>
            <w:tcBorders/>
            <w:shd w:fill="FFFFFF" w:val="clear"/>
            <w:vAlign w:val="center"/>
          </w:tcPr>
          <w:p>
            <w:pPr>
              <w:pStyle w:val="TableContents"/>
              <w:bidi w:val="0"/>
              <w:spacing w:before="0" w:after="283"/>
              <w:jc w:val="left"/>
              <w:rPr/>
            </w:pPr>
            <w:r>
              <w:rPr/>
              <w:t> </w:t>
            </w:r>
          </w:p>
        </w:tc>
        <w:tc>
          <w:tcPr>
            <w:tcW w:w="16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125,551</w:t>
            </w:r>
          </w:p>
        </w:tc>
        <w:tc>
          <w:tcPr>
            <w:tcW w:w="10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6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172,677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 end of period</w:t>
            </w:r>
          </w:p>
        </w:tc>
        <w:tc>
          <w:tcPr>
            <w:tcW w:w="60" w:type="dxa"/>
            <w:tcBorders/>
            <w:shd w:fill="CCEEFF" w:val="clear"/>
            <w:vAlign w:val="center"/>
          </w:tcPr>
          <w:p>
            <w:pPr>
              <w:pStyle w:val="TableContents"/>
              <w:bidi w:val="0"/>
              <w:spacing w:before="0" w:after="283"/>
              <w:ind w:left="0" w:right="0" w:hanging="0"/>
              <w:jc w:val="left"/>
              <w:rPr/>
            </w:pPr>
            <w:r>
              <w:rPr/>
              <w:t> </w:t>
            </w:r>
          </w:p>
        </w:tc>
        <w:tc>
          <w:tcPr>
            <w:tcW w:w="16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109,528</w:t>
            </w:r>
          </w:p>
        </w:tc>
        <w:tc>
          <w:tcPr>
            <w:tcW w:w="10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6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152,938</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59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Supplemental Information:</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9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purchases of property and equipment</w:t>
            </w:r>
          </w:p>
        </w:tc>
        <w:tc>
          <w:tcPr>
            <w:tcW w:w="60" w:type="dxa"/>
            <w:tcBorders/>
            <w:shd w:fill="FFFFFF" w:val="clear"/>
            <w:vAlign w:val="center"/>
          </w:tcPr>
          <w:p>
            <w:pPr>
              <w:pStyle w:val="TableContents"/>
              <w:bidi w:val="0"/>
              <w:spacing w:before="0" w:after="283"/>
              <w:ind w:left="0" w:right="0" w:hanging="0"/>
              <w:jc w:val="left"/>
              <w:rPr/>
            </w:pPr>
            <w:r>
              <w:rPr/>
              <w:t> </w:t>
            </w:r>
          </w:p>
        </w:tc>
        <w:tc>
          <w:tcPr>
            <w:tcW w:w="16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10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16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80" w:type="dxa"/>
            <w:tcBorders/>
            <w:shd w:fill="FFFFFF" w:val="clear"/>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paid for interest</w:t>
            </w:r>
          </w:p>
        </w:tc>
        <w:tc>
          <w:tcPr>
            <w:tcW w:w="60" w:type="dxa"/>
            <w:tcBorders/>
            <w:shd w:fill="CCEEFF" w:val="clear"/>
            <w:vAlign w:val="center"/>
          </w:tcPr>
          <w:p>
            <w:pPr>
              <w:pStyle w:val="TableContents"/>
              <w:bidi w:val="0"/>
              <w:spacing w:before="0" w:after="283"/>
              <w:ind w:left="0" w:right="0" w:hanging="0"/>
              <w:jc w:val="left"/>
              <w:rPr/>
            </w:pPr>
            <w:r>
              <w:rPr/>
              <w:t> </w:t>
            </w:r>
          </w:p>
        </w:tc>
        <w:tc>
          <w:tcPr>
            <w:tcW w:w="16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0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16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486</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 xml:space="preserve">See accompanying notes to unaudited condensed consolidated financial statements.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XBiotech Inc.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Notes to Condensed Consolidated Financial Statements (Unaudited)</w:t>
      </w:r>
      <w:bookmarkStart w:id="7" w:name="Notes_to_Condensed_Consolidated_Financia"/>
      <w:bookmarkEnd w:id="7"/>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1375" w:type="dxa"/>
        <w:jc w:val="left"/>
        <w:tblInd w:w="0" w:type="dxa"/>
        <w:tblLayout w:type="fixed"/>
        <w:tblCellMar>
          <w:top w:w="0" w:type="dxa"/>
          <w:left w:w="0" w:type="dxa"/>
          <w:bottom w:w="0" w:type="dxa"/>
          <w:right w:w="0" w:type="dxa"/>
        </w:tblCellMar>
      </w:tblPr>
      <w:tblGrid>
        <w:gridCol w:w="170"/>
        <w:gridCol w:w="1205"/>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1.</w:t>
            </w:r>
          </w:p>
        </w:tc>
        <w:tc>
          <w:tcPr>
            <w:tcW w:w="120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Organization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XBiotech Inc. (“XBiotech” or the “Company”) was incorporated in Canada on March 22, 2005. The Company’s headquarters are located in Austin, Texas. XBiotech USA, Inc., a wholly-owned subsidiary of the Company, was incorporated in Delaware, United States in November 2007.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Since its inception, XBiotech has focused on advancing technology to rapidly identify and clone antibodies from individuals that have resistance to disease. At the heart of the Company is a proprietary technical knowhow to translate natural human immunity into therapeutic product candidates. The Company has in its pipeline both anti-infective and anti-inflammatory candidate therapeutics derived from this technology.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An area of medical focus for XBiotech are therapies that block a potent substance naturally produced by body, known as interleukin-1 alpha (IL-1a), that mediates tissue breakdown, angiogenesis, the formation of blood clots and inflammation. IL-1a is a protein that is on or in cells of the body and is involved in the body’s response to injury or trauma. In almost all chronic and in some acute injury scenarios (such as stroke or heart attack), IL-1a may mediate harmful disease-related activity.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At the end of 2019, XBiotech sold a True Human™ antibody that blocked IL-1a activity for $750 million in cash and up to $600 million in potential milestone payments set to expire after twelve years in 2031 (the “Janssen Transaction”). The potential milestone payments are contingent upon achieving the required commercialization authorization for a product intended for use in any non-dermatological indication by Janssen within twelve years. As of June 30, 2026, none of the milestone payments have been earned. As part of the Janssen Transaction, XBiotech maintained the right to develop new antibodies that block IL-1a and develop these therapeutics in all areas of medicine except dermatology. Moreover, Janssen agreed that they would assert all patents they acquired relating to IL-1a for the benefit of XBiotech to protect our future IL-1a-related therapies in all non-dermatological indications. XBiotech is using its True Human™ antibody discovery technology to identify and develop new IL-1a targeting product candidates and has already brought one such candidate into clinical studies in oncology and rheumatology; and another unique anti-IL-1a antibody into a Phase I study in neurology. The Company has successfully completed one Phase II clinical study in oncology and is engaging with the FDA (U.S. Food and Drug Administration) to define the regulatory path forward, informed by historical approvals and ongoing dialogue with the FDA. In the past quarter, the company has also launched a Phase II clinical trial for evaluating its new IL-1a targeting antibody for the treatment of active axial spondyloarthritis.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Company is subject to a number of risks common to companies in clinical stage of development. Principal among these risks are the uncertainties of technological innovations, dependence on key individuals, development of the same or similar technological innovations by the Company’s competitors and protection of proprietary technology. The Company’s ability to fund its planned clinical operations, including completion of its planned trials, is expected to depend on the amount and timing of cash receipts from future collaboration or product sales and/or financing transactions. The Company believes that its cash and cash equivalents of $109.5 million at June 30, 2026, will enable the Company to achieve several major inflection points, including completion of clinical studies with lead product candidates. The Company expects to have sufficient cash through at least 12 months from the date of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2860" w:type="dxa"/>
        <w:jc w:val="left"/>
        <w:tblInd w:w="0" w:type="dxa"/>
        <w:tblLayout w:type="fixed"/>
        <w:tblCellMar>
          <w:top w:w="0" w:type="dxa"/>
          <w:left w:w="0" w:type="dxa"/>
          <w:bottom w:w="0" w:type="dxa"/>
          <w:right w:w="0" w:type="dxa"/>
        </w:tblCellMar>
      </w:tblPr>
      <w:tblGrid>
        <w:gridCol w:w="170"/>
        <w:gridCol w:w="2690"/>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2.</w:t>
            </w:r>
          </w:p>
        </w:tc>
        <w:tc>
          <w:tcPr>
            <w:tcW w:w="269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Significant Accounting Policies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Basis of Presentation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condensed consolidated balance sheet as of June 30, 2026, the condensed consolidated statements of operations and shareholders’ equity for the three and six months ended June 30, 2026 and 2025, and the condensed consolidated statement of cash flows for the six months ended June 30, 2026 and 2025 were prepared by management without audit. In the opinion of management, all adjustments necessary for the fair presentation of the financial position, results of operations, and changes in financial position for such periods, have been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Certain information and footnote disclosures normally included in financial statements prepared in accordance with accounting principles generally accepted in the United States of America (“U.S. GAAP”) have been condensed or omitted. These interim financial statements should be read in conjunction with the consolidated financial statements and notes thereto included in our Form 10-K for the year ended December 31, 2025. The results of operations for the period ended June 30, 2026 are not necessarily indicative of the operating results that may be expected for a full year. The condensed consolidated balance sheet as of December 31, 2025 contains financial information taken from the audited XBiotech Inc. consolidated financial statements as of that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Basis of Consolidation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condensed consolidated financial statements include the accounts of the Company and its wholly-owned subsidiary. All significant intercompany transactions have been eliminated upon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Use of Estimates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preparation of financial statements in accordance with U.S. GAAP requires management to make estimates and assumptions that affect the reported values of amounts in the financial statements and accompanying notes. Actual results could differ from those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Research and Development Costs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All research and development costs are charged to expense as incurred. Research and development costs include salaries and personnel-related costs, consulting fees, fees paid for contract clinical trial research services, the costs of laboratory consumables, equipment and facilities, license fees and other external costs. Costs incurred to acquire licenses for intellectual property to be used in research and development activities with no alternative future use are expensed as incurred as research and development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Nonrefundable advance payments for goods or services to be received in the future for use in research and development activities are deferred and capitalized. The capitalized amounts are expensed as the related goods are delivered or the services are performed.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Clinical Trial Accruals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Expense accruals related to clinical trials are based on actual services received and efforts expended pursuant to contracts with third party service providers which conduct and manage clinical trials on the Company’s behalf. The financial terms of these agreements vary from contract to contract and may result in uneven payment flows. Payments under some of these contracts depend on factors such as the successful enrollment of patients and the completion of clinical trial milestones. The Company accrues costs based on the actual services rendered in the period over which services were performed and the level of effort expended in each period based upon patient enrollment, clinical site activations, or information provided to the Company by its vendors on their actual costs incurred. Any estimates of the level of services performed or the costs of these services could differ from actual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Income Taxes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Company accounts for income taxes under the asset and liability method, which requires the recognition of deferred tax assets and liabilities for the future tax consequences attributable to temporary differences between the financial statement carrying amounts of existing assets and liabilities and their respective tax bases. The Company measures deferred tax assets and liabilities using the enacted tax rates for the years and jurisdictions in which the temporary differences are expected to be recovered. A change to the tax rates used to measure the Company’s deferred taxes is recognized in income during the period in which the new rate(s) were enacted.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Company recognizes deferred tax assets to the extent the Company’s assets are more likely than not to be realized. In making such a determination, the Company considers all available positive and negative evidence, including the future reversals of existing taxable temporary differences, projected future taxable income exclusive of reversing temporary differences and carryforwards, tax-planning strategies, taxable income in prior carryback years if permitted under tax law, and the results from prior years. If the Company determines it is more likely than not, that all or a portion of a deferred tax asset will not be realized a valuation allowance is recorded with a charge to income tax expense. Alternatively, if the Company determines that all or a portion of a deferred tax asset previously not meeting the more likely than not threshold will be realized, the Company reduces its valuation allowance and recognizes a benefit in income tax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Company recognizes and measures uncertain tax benefits in accordance with ASC 740 based on a two-step process in which (1) the Company determines whether it is more likely than not that the tax position will be sustained based on the technical merits of the position, and (2) for those tax positions that meet the more-likely-than-not recognition threshold, the Company recognizes the largest amount of tax benefit that is more than fifty percent likely to be realized upon ultimate settlement with the related tax authority. The Company's policy is to recognize interest and penalties, if any, in income tax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Share-Based Compensation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The Company accounts for its share-based compensation awards in accordance with ASC Topic 718, </w:t>
      </w:r>
      <w:r>
        <w:rPr>
          <w:rFonts w:ascii="Times New Roman" w:hAnsi="Times New Roman"/>
          <w:i/>
          <w:caps w:val="false"/>
          <w:smallCaps w:val="false"/>
          <w:sz w:val="20"/>
        </w:rPr>
        <w:t>Compensation-Stock Compensation</w:t>
      </w:r>
      <w:r>
        <w:rPr>
          <w:rFonts w:ascii="Times New Roman" w:hAnsi="Times New Roman"/>
          <w:caps w:val="false"/>
          <w:smallCaps w:val="false"/>
          <w:sz w:val="20"/>
        </w:rPr>
        <w:t xml:space="preserve"> (“ASC 718”). ASC 718 requires all share-based payments to employees, including grants of employee stock options, to be recognized in the statements of operations based on their grant date fair values. For stock options granted to employees and to members of the board of directors for their services on the board of directors, the Company estimates the grant date fair value of each option award using the Black-Scholes option-pricing model. The use of the Black-Scholes option-pricing model requires management to make assumptions with respect to the expected term of the option, the expected volatility of the common stock consistent with the expected life of the option, risk-free interest rates and expected dividend yields of the common stock. To determine the fair value of its common stock, the Company uses the closing price of the Company’s common stock as reported by NASDAQ. For awards subject to service-based vesting conditions, the Company recognizes share-based compensation expense, equal to the grant date fair value of stock options on a straight-line basis over the requisite service period. The Company accounts for forfeitures as they occur rather than on an estimated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Share-based compensation expense recognized for the three months and six months ended June 30, 2026 and 2025 was included in the following line items on the condensed consolidated statements of operations (in thousands).</w:t>
      </w:r>
    </w:p>
    <w:p>
      <w:pPr>
        <w:pStyle w:val="TextBody"/>
        <w:bidi w:val="0"/>
        <w:spacing w:before="0" w:after="0"/>
        <w:ind w:left="0" w:right="0" w:hanging="0"/>
        <w:jc w:val="left"/>
        <w:rPr>
          <w:caps w:val="false"/>
          <w:smallCaps w:val="false"/>
        </w:rPr>
      </w:pPr>
      <w:r>
        <w:rPr>
          <w:caps w:val="false"/>
          <w:smallCaps w:val="false"/>
        </w:rPr>
        <w:t> </w:t>
      </w:r>
    </w:p>
    <w:tbl>
      <w:tblPr>
        <w:tblW w:w="6910" w:type="dxa"/>
        <w:jc w:val="left"/>
        <w:tblInd w:w="0" w:type="dxa"/>
        <w:tblLayout w:type="fixed"/>
        <w:tblCellMar>
          <w:top w:w="0" w:type="dxa"/>
          <w:left w:w="0" w:type="dxa"/>
          <w:bottom w:w="0" w:type="dxa"/>
          <w:right w:w="0" w:type="dxa"/>
        </w:tblCellMar>
      </w:tblPr>
      <w:tblGrid>
        <w:gridCol w:w="3335"/>
        <w:gridCol w:w="60"/>
        <w:gridCol w:w="215"/>
        <w:gridCol w:w="576"/>
        <w:gridCol w:w="103"/>
        <w:gridCol w:w="103"/>
        <w:gridCol w:w="215"/>
        <w:gridCol w:w="576"/>
        <w:gridCol w:w="60"/>
        <w:gridCol w:w="60"/>
        <w:gridCol w:w="162"/>
        <w:gridCol w:w="436"/>
        <w:gridCol w:w="78"/>
        <w:gridCol w:w="78"/>
        <w:gridCol w:w="162"/>
        <w:gridCol w:w="631"/>
        <w:gridCol w:w="60"/>
      </w:tblGrid>
      <w:tr>
        <w:trPr/>
        <w:tc>
          <w:tcPr>
            <w:tcW w:w="3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88"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47"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w:t>
            </w:r>
          </w:p>
        </w:tc>
        <w:tc>
          <w:tcPr>
            <w:tcW w:w="60" w:type="dxa"/>
            <w:tcBorders/>
            <w:vAlign w:val="center"/>
          </w:tcPr>
          <w:p>
            <w:pPr>
              <w:pStyle w:val="TableContents"/>
              <w:bidi w:val="0"/>
              <w:spacing w:before="0" w:after="283"/>
              <w:jc w:val="left"/>
              <w:rPr/>
            </w:pPr>
            <w:r>
              <w:rPr/>
              <w:t> </w:t>
            </w:r>
          </w:p>
        </w:tc>
      </w:tr>
      <w:tr>
        <w:trPr/>
        <w:tc>
          <w:tcPr>
            <w:tcW w:w="3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88"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47"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60" w:type="dxa"/>
            <w:tcBorders/>
            <w:vAlign w:val="center"/>
          </w:tcPr>
          <w:p>
            <w:pPr>
              <w:pStyle w:val="TableContents"/>
              <w:bidi w:val="0"/>
              <w:spacing w:before="0" w:after="283"/>
              <w:jc w:val="left"/>
              <w:rPr/>
            </w:pPr>
            <w:r>
              <w:rPr/>
              <w:t> </w:t>
            </w:r>
          </w:p>
        </w:tc>
      </w:tr>
      <w:tr>
        <w:trPr/>
        <w:tc>
          <w:tcPr>
            <w:tcW w:w="3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03" w:type="dxa"/>
            <w:tcBorders>
              <w:bottom w:val="single" w:sz="2" w:space="0" w:color="000000"/>
            </w:tcBorders>
            <w:tcMar>
              <w:bottom w:w="28" w:type="dxa"/>
            </w:tcMar>
            <w:vAlign w:val="center"/>
          </w:tcPr>
          <w:p>
            <w:pPr>
              <w:pStyle w:val="TableContents"/>
              <w:bidi w:val="0"/>
              <w:spacing w:before="0" w:after="283"/>
              <w:jc w:val="left"/>
              <w:rPr/>
            </w:pPr>
            <w:r>
              <w:rPr/>
              <w:t> </w:t>
            </w:r>
          </w:p>
        </w:tc>
        <w:tc>
          <w:tcPr>
            <w:tcW w:w="103"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7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59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78" w:type="dxa"/>
            <w:tcBorders>
              <w:bottom w:val="single" w:sz="2" w:space="0" w:color="000000"/>
            </w:tcBorders>
            <w:tcMar>
              <w:bottom w:w="28" w:type="dxa"/>
            </w:tcMar>
            <w:vAlign w:val="center"/>
          </w:tcPr>
          <w:p>
            <w:pPr>
              <w:pStyle w:val="TableContents"/>
              <w:bidi w:val="0"/>
              <w:spacing w:before="0" w:after="283"/>
              <w:jc w:val="left"/>
              <w:rPr/>
            </w:pPr>
            <w:r>
              <w:rPr/>
              <w:t> </w:t>
            </w:r>
          </w:p>
        </w:tc>
        <w:tc>
          <w:tcPr>
            <w:tcW w:w="78"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79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3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CCEEFF" w:val="clear"/>
            <w:vAlign w:val="center"/>
          </w:tcPr>
          <w:p>
            <w:pPr>
              <w:pStyle w:val="TableContents"/>
              <w:bidi w:val="0"/>
              <w:spacing w:before="0" w:after="283"/>
              <w:ind w:left="0" w:right="0" w:hanging="0"/>
              <w:jc w:val="left"/>
              <w:rPr/>
            </w:pPr>
            <w:r>
              <w:rPr/>
              <w:t> </w:t>
            </w:r>
          </w:p>
        </w:tc>
        <w:tc>
          <w:tcPr>
            <w:tcW w:w="21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ind w:left="0" w:right="0" w:hanging="0"/>
              <w:jc w:val="left"/>
              <w:rPr/>
            </w:pPr>
            <w:r>
              <w:rPr/>
              <w:t> </w:t>
            </w:r>
          </w:p>
        </w:tc>
        <w:tc>
          <w:tcPr>
            <w:tcW w:w="21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ind w:left="0" w:right="0" w:hanging="0"/>
              <w:jc w:val="left"/>
              <w:rPr/>
            </w:pPr>
            <w:r>
              <w:rPr/>
              <w:t> </w:t>
            </w:r>
          </w:p>
        </w:tc>
        <w:tc>
          <w:tcPr>
            <w:tcW w:w="16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2,680</w:t>
            </w:r>
          </w:p>
        </w:tc>
        <w:tc>
          <w:tcPr>
            <w:tcW w:w="60" w:type="dxa"/>
            <w:tcBorders/>
            <w:shd w:fill="CCEEFF" w:val="clear"/>
            <w:vAlign w:val="center"/>
          </w:tcPr>
          <w:p>
            <w:pPr>
              <w:pStyle w:val="TableContents"/>
              <w:bidi w:val="0"/>
              <w:spacing w:before="0" w:after="283"/>
              <w:jc w:val="left"/>
              <w:rPr/>
            </w:pPr>
            <w:r>
              <w:rPr/>
              <w:t> </w:t>
            </w:r>
          </w:p>
        </w:tc>
      </w:tr>
      <w:tr>
        <w:trPr/>
        <w:tc>
          <w:tcPr>
            <w:tcW w:w="33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w:t>
            </w:r>
          </w:p>
        </w:tc>
        <w:tc>
          <w:tcPr>
            <w:tcW w:w="60" w:type="dxa"/>
            <w:tcBorders/>
            <w:shd w:fill="FFFFFF" w:val="clear"/>
            <w:vAlign w:val="center"/>
          </w:tcPr>
          <w:p>
            <w:pPr>
              <w:pStyle w:val="TableContents"/>
              <w:bidi w:val="0"/>
              <w:spacing w:before="0" w:after="283"/>
              <w:jc w:val="left"/>
              <w:rPr/>
            </w:pPr>
            <w:r>
              <w:rPr/>
              <w:t> </w:t>
            </w:r>
          </w:p>
        </w:tc>
        <w:tc>
          <w:tcPr>
            <w:tcW w:w="21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7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w:t>
            </w:r>
          </w:p>
        </w:tc>
        <w:tc>
          <w:tcPr>
            <w:tcW w:w="10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1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7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6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3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330</w:t>
            </w:r>
          </w:p>
        </w:tc>
        <w:tc>
          <w:tcPr>
            <w:tcW w:w="7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6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3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share-based compensation expense</w:t>
            </w:r>
          </w:p>
        </w:tc>
        <w:tc>
          <w:tcPr>
            <w:tcW w:w="60" w:type="dxa"/>
            <w:tcBorders/>
            <w:shd w:fill="CCEEFF" w:val="clear"/>
            <w:vAlign w:val="center"/>
          </w:tcPr>
          <w:p>
            <w:pPr>
              <w:pStyle w:val="TableContents"/>
              <w:bidi w:val="0"/>
              <w:spacing w:before="0" w:after="283"/>
              <w:ind w:left="0" w:right="0" w:hanging="0"/>
              <w:jc w:val="left"/>
              <w:rPr/>
            </w:pPr>
            <w:r>
              <w:rPr/>
              <w:t> </w:t>
            </w:r>
          </w:p>
        </w:tc>
        <w:tc>
          <w:tcPr>
            <w:tcW w:w="21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7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w:t>
            </w:r>
          </w:p>
        </w:tc>
        <w:tc>
          <w:tcPr>
            <w:tcW w:w="10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1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7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6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3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344</w:t>
            </w:r>
          </w:p>
        </w:tc>
        <w:tc>
          <w:tcPr>
            <w:tcW w:w="7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6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3,436</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fair value of each option is estimated on the date of grant using the Black-Scholes method with the following assumptions:</w:t>
      </w:r>
    </w:p>
    <w:p>
      <w:pPr>
        <w:pStyle w:val="TextBody"/>
        <w:bidi w:val="0"/>
        <w:spacing w:before="0" w:after="0"/>
        <w:ind w:left="0" w:right="0" w:hanging="0"/>
        <w:jc w:val="left"/>
        <w:rPr>
          <w:caps w:val="false"/>
          <w:smallCaps w:val="false"/>
        </w:rPr>
      </w:pPr>
      <w:r>
        <w:rPr>
          <w:caps w:val="false"/>
          <w:smallCaps w:val="false"/>
        </w:rPr>
        <w:t> </w:t>
      </w:r>
    </w:p>
    <w:tbl>
      <w:tblPr>
        <w:tblW w:w="8229" w:type="dxa"/>
        <w:jc w:val="left"/>
        <w:tblInd w:w="0" w:type="dxa"/>
        <w:tblLayout w:type="fixed"/>
        <w:tblCellMar>
          <w:top w:w="0" w:type="dxa"/>
          <w:left w:w="0" w:type="dxa"/>
          <w:bottom w:w="0" w:type="dxa"/>
          <w:right w:w="0" w:type="dxa"/>
        </w:tblCellMar>
      </w:tblPr>
      <w:tblGrid>
        <w:gridCol w:w="3935"/>
        <w:gridCol w:w="60"/>
        <w:gridCol w:w="240"/>
        <w:gridCol w:w="730"/>
        <w:gridCol w:w="355"/>
        <w:gridCol w:w="115"/>
        <w:gridCol w:w="295"/>
        <w:gridCol w:w="189"/>
        <w:gridCol w:w="60"/>
        <w:gridCol w:w="60"/>
        <w:gridCol w:w="125"/>
        <w:gridCol w:w="755"/>
        <w:gridCol w:w="185"/>
        <w:gridCol w:w="60"/>
        <w:gridCol w:w="125"/>
        <w:gridCol w:w="755"/>
        <w:gridCol w:w="185"/>
      </w:tblGrid>
      <w:tr>
        <w:trPr/>
        <w:tc>
          <w:tcPr>
            <w:tcW w:w="39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924"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Three Months Ended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005"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Six Months Ended </w:t>
            </w:r>
          </w:p>
        </w:tc>
        <w:tc>
          <w:tcPr>
            <w:tcW w:w="185" w:type="dxa"/>
            <w:tcBorders/>
            <w:vAlign w:val="center"/>
          </w:tcPr>
          <w:p>
            <w:pPr>
              <w:pStyle w:val="TableContents"/>
              <w:bidi w:val="0"/>
              <w:spacing w:before="0" w:after="283"/>
              <w:jc w:val="left"/>
              <w:rPr/>
            </w:pPr>
            <w:r>
              <w:rPr/>
              <w:t> </w:t>
            </w:r>
          </w:p>
        </w:tc>
      </w:tr>
      <w:tr>
        <w:trPr/>
        <w:tc>
          <w:tcPr>
            <w:tcW w:w="39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924" w:type="dxa"/>
            <w:gridSpan w:val="6"/>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005"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185" w:type="dxa"/>
            <w:tcBorders/>
            <w:vAlign w:val="center"/>
          </w:tcPr>
          <w:p>
            <w:pPr>
              <w:pStyle w:val="TableContents"/>
              <w:bidi w:val="0"/>
              <w:spacing w:before="0" w:after="283"/>
              <w:jc w:val="left"/>
              <w:rPr/>
            </w:pPr>
            <w:r>
              <w:rPr/>
              <w:t> </w:t>
            </w:r>
          </w:p>
        </w:tc>
      </w:tr>
      <w:tr>
        <w:trPr/>
        <w:tc>
          <w:tcPr>
            <w:tcW w:w="39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355" w:type="dxa"/>
            <w:tcBorders>
              <w:bottom w:val="single" w:sz="2" w:space="0" w:color="000000"/>
            </w:tcBorders>
            <w:tcMar>
              <w:bottom w:w="28" w:type="dxa"/>
            </w:tcMar>
            <w:vAlign w:val="center"/>
          </w:tcPr>
          <w:p>
            <w:pPr>
              <w:pStyle w:val="TableContents"/>
              <w:bidi w:val="0"/>
              <w:spacing w:before="0" w:after="283"/>
              <w:jc w:val="left"/>
              <w:rPr/>
            </w:pPr>
            <w:r>
              <w:rPr/>
              <w:t> </w:t>
            </w:r>
          </w:p>
        </w:tc>
        <w:tc>
          <w:tcPr>
            <w:tcW w:w="115"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4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2025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 yield</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ind w:left="0" w:right="0" w:hanging="0"/>
              <w:jc w:val="left"/>
              <w:rPr/>
            </w:pPr>
            <w:r>
              <w:rPr/>
              <w:t> </w:t>
            </w:r>
          </w:p>
        </w:tc>
        <w:tc>
          <w:tcPr>
            <w:tcW w:w="7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35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ind w:left="0" w:right="0" w:hanging="0"/>
              <w:jc w:val="left"/>
              <w:rPr/>
            </w:pPr>
            <w:r>
              <w:rPr/>
              <w:t> </w:t>
            </w:r>
          </w:p>
        </w:tc>
        <w:tc>
          <w:tcPr>
            <w:tcW w:w="18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85" w:type="dxa"/>
            <w:tcBorders/>
            <w:shd w:fill="CCEEFF" w:val="clear"/>
            <w:vAlign w:val="center"/>
          </w:tcPr>
          <w:p>
            <w:pPr>
              <w:pStyle w:val="TableContents"/>
              <w:bidi w:val="0"/>
              <w:spacing w:before="0" w:after="283"/>
              <w:jc w:val="left"/>
              <w:rPr/>
            </w:pPr>
            <w:r>
              <w:rPr/>
              <w:t> </w:t>
            </w:r>
          </w:p>
        </w:tc>
      </w:tr>
      <w:tr>
        <w:trPr/>
        <w:tc>
          <w:tcPr>
            <w:tcW w:w="39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volatility</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ind w:left="0" w:right="0" w:hanging="0"/>
              <w:jc w:val="left"/>
              <w:rPr/>
            </w:pPr>
            <w:r>
              <w:rPr/>
              <w:t> </w:t>
            </w:r>
          </w:p>
        </w:tc>
        <w:tc>
          <w:tcPr>
            <w:tcW w:w="7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w:t>
            </w:r>
          </w:p>
        </w:tc>
        <w:tc>
          <w:tcPr>
            <w:tcW w:w="3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5"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ind w:left="0" w:right="0" w:hanging="0"/>
              <w:jc w:val="left"/>
              <w:rPr/>
            </w:pPr>
            <w:r>
              <w:rPr/>
              <w:t> </w:t>
            </w:r>
          </w:p>
        </w:tc>
        <w:tc>
          <w:tcPr>
            <w:tcW w:w="18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81%-82</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79%-80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Risk-free interest rate</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ind w:left="0" w:right="0" w:hanging="0"/>
              <w:jc w:val="left"/>
              <w:rPr/>
            </w:pPr>
            <w:r>
              <w:rPr/>
              <w:t> </w:t>
            </w:r>
          </w:p>
        </w:tc>
        <w:tc>
          <w:tcPr>
            <w:tcW w:w="7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w:t>
            </w:r>
          </w:p>
        </w:tc>
        <w:tc>
          <w:tcPr>
            <w:tcW w:w="3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5"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ind w:left="0" w:right="0" w:hanging="0"/>
              <w:jc w:val="left"/>
              <w:rPr/>
            </w:pPr>
            <w:r>
              <w:rPr/>
              <w:t> </w:t>
            </w:r>
          </w:p>
        </w:tc>
        <w:tc>
          <w:tcPr>
            <w:tcW w:w="18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3.8%-4.0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4.1%-4.5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life (in years)</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ind w:left="0" w:right="0" w:hanging="0"/>
              <w:jc w:val="left"/>
              <w:rPr/>
            </w:pPr>
            <w:r>
              <w:rPr/>
              <w:t> </w:t>
            </w:r>
          </w:p>
        </w:tc>
        <w:tc>
          <w:tcPr>
            <w:tcW w:w="7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6.25</w:t>
            </w:r>
          </w:p>
        </w:tc>
        <w:tc>
          <w:tcPr>
            <w:tcW w:w="355"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ind w:left="0" w:right="0" w:hanging="0"/>
              <w:jc w:val="left"/>
              <w:rPr/>
            </w:pPr>
            <w:r>
              <w:rPr/>
              <w:t> </w:t>
            </w:r>
          </w:p>
        </w:tc>
        <w:tc>
          <w:tcPr>
            <w:tcW w:w="18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6.25 - 10</w:t>
            </w:r>
          </w:p>
        </w:tc>
        <w:tc>
          <w:tcPr>
            <w:tcW w:w="185" w:type="dxa"/>
            <w:tcBorders/>
            <w:shd w:fill="FFFFFF" w:val="clear"/>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Weighted-average grant date fair value per share</w:t>
            </w:r>
          </w:p>
        </w:tc>
        <w:tc>
          <w:tcPr>
            <w:tcW w:w="60" w:type="dxa"/>
            <w:tcBorders/>
            <w:shd w:fill="CCEEFF" w:val="clear"/>
            <w:vAlign w:val="center"/>
          </w:tcPr>
          <w:p>
            <w:pPr>
              <w:pStyle w:val="TableContents"/>
              <w:bidi w:val="0"/>
              <w:spacing w:before="0" w:after="283"/>
              <w:ind w:left="0" w:right="0" w:hanging="0"/>
              <w:jc w:val="left"/>
              <w:rPr/>
            </w:pPr>
            <w:r>
              <w:rPr/>
              <w:t> </w:t>
            </w:r>
          </w:p>
        </w:tc>
        <w:tc>
          <w:tcPr>
            <w:tcW w:w="24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w:t>
            </w:r>
          </w:p>
        </w:tc>
        <w:tc>
          <w:tcPr>
            <w:tcW w:w="35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ind w:left="0" w:right="0" w:hanging="0"/>
              <w:jc w:val="left"/>
              <w:rPr/>
            </w:pPr>
            <w:r>
              <w:rPr/>
              <w:t> </w:t>
            </w:r>
          </w:p>
        </w:tc>
        <w:tc>
          <w:tcPr>
            <w:tcW w:w="29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8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2.93</w:t>
            </w:r>
          </w:p>
        </w:tc>
        <w:tc>
          <w:tcPr>
            <w:tcW w:w="18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Cash and Cash Equivalents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Company considers highly liquid investments with a maturity of three months or less when purchased to be cash equivalents. Cash and cash equivalents consisted primarily of cash on deposit in U.S. and Canadian banks. Cash and cash equivalents are stated at cost which approximates fair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Concentrations of Credit Risk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Financial instruments that potentially subject the Company to credit risk consist primarily of cash and cash equivalents. The Company holds these investments in highly-rated financial institutions. These amounts at times may exceed federally insured limits. The Company has not experienced any credit losses in such accounts and does not believe it is exposed to any significant credit risk on these funds. The Company has no off-balance sheet concentrations of credit risk, such as foreign currency exchange contracts, option contracts or other hedging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Property and Equipment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Property and equipment, which consists of land, construction in process, furniture and fixtures, computers and office equipment, scientific equipment, vehicles, mobile facility and building are stated at cost and depreciated over the estimated useful lives of the assets, with the exception of land and construction in process which are not depreciated, using the straight line method. The useful lives are as follows:</w:t>
      </w:r>
    </w:p>
    <w:p>
      <w:pPr>
        <w:pStyle w:val="TextBody"/>
        <w:bidi w:val="0"/>
        <w:spacing w:before="0" w:after="0"/>
        <w:ind w:left="0" w:right="0" w:hanging="0"/>
        <w:jc w:val="left"/>
        <w:rPr>
          <w:caps w:val="false"/>
          <w:smallCaps w:val="false"/>
        </w:rPr>
      </w:pPr>
      <w:r>
        <w:rPr>
          <w:caps w:val="false"/>
          <w:smallCaps w:val="false"/>
        </w:rPr>
        <w:t> </w:t>
      </w:r>
    </w:p>
    <w:tbl>
      <w:tblPr>
        <w:tblW w:w="4095" w:type="dxa"/>
        <w:jc w:val="left"/>
        <w:tblInd w:w="0" w:type="dxa"/>
        <w:tblLayout w:type="fixed"/>
        <w:tblCellMar>
          <w:top w:w="0" w:type="dxa"/>
          <w:left w:w="0" w:type="dxa"/>
          <w:bottom w:w="0" w:type="dxa"/>
          <w:right w:w="0" w:type="dxa"/>
        </w:tblCellMar>
      </w:tblPr>
      <w:tblGrid>
        <w:gridCol w:w="230"/>
        <w:gridCol w:w="3020"/>
        <w:gridCol w:w="845"/>
      </w:tblGrid>
      <w:tr>
        <w:trPr/>
        <w:tc>
          <w:tcPr>
            <w:tcW w:w="3250" w:type="dxa"/>
            <w:gridSpan w:val="2"/>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 </w:t>
            </w:r>
          </w:p>
        </w:tc>
      </w:tr>
      <w:tr>
        <w:trPr/>
        <w:tc>
          <w:tcPr>
            <w:tcW w:w="230" w:type="dxa"/>
            <w:tcBorders/>
            <w:vAlign w:val="center"/>
          </w:tcPr>
          <w:p>
            <w:pPr>
              <w:pStyle w:val="TableContents"/>
              <w:bidi w:val="0"/>
              <w:spacing w:before="0" w:after="0"/>
              <w:ind w:left="480" w:right="0" w:hanging="360"/>
              <w:jc w:val="left"/>
              <w:rPr>
                <w:caps w:val="false"/>
                <w:smallCaps w:val="false"/>
              </w:rPr>
            </w:pPr>
            <w:r>
              <w:rPr>
                <w:caps w:val="false"/>
                <w:smallCaps w:val="false"/>
              </w:rPr>
              <w:t>•  </w:t>
            </w:r>
          </w:p>
        </w:tc>
        <w:tc>
          <w:tcPr>
            <w:tcW w:w="3020" w:type="dxa"/>
            <w:tcBorders/>
            <w:vAlign w:val="center"/>
          </w:tcPr>
          <w:p>
            <w:pPr>
              <w:pStyle w:val="TableContents"/>
              <w:bidi w:val="0"/>
              <w:spacing w:before="0" w:after="283"/>
              <w:jc w:val="left"/>
              <w:rPr/>
            </w:pPr>
            <w:r>
              <w:rPr/>
              <w:t>Furniture and fixtures</w:t>
            </w:r>
          </w:p>
        </w:tc>
        <w:tc>
          <w:tcPr>
            <w:tcW w:w="8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7 years</w:t>
            </w:r>
          </w:p>
        </w:tc>
      </w:tr>
      <w:tr>
        <w:trPr/>
        <w:tc>
          <w:tcPr>
            <w:tcW w:w="3250" w:type="dxa"/>
            <w:gridSpan w:val="2"/>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 </w:t>
            </w:r>
          </w:p>
        </w:tc>
      </w:tr>
      <w:tr>
        <w:trPr/>
        <w:tc>
          <w:tcPr>
            <w:tcW w:w="230" w:type="dxa"/>
            <w:tcBorders/>
            <w:vAlign w:val="center"/>
          </w:tcPr>
          <w:p>
            <w:pPr>
              <w:pStyle w:val="TableContents"/>
              <w:bidi w:val="0"/>
              <w:spacing w:before="0" w:after="0"/>
              <w:ind w:left="480" w:right="0" w:hanging="360"/>
              <w:jc w:val="left"/>
              <w:rPr>
                <w:caps w:val="false"/>
                <w:smallCaps w:val="false"/>
              </w:rPr>
            </w:pPr>
            <w:r>
              <w:rPr>
                <w:caps w:val="false"/>
                <w:smallCaps w:val="false"/>
              </w:rPr>
              <w:t>• </w:t>
            </w:r>
          </w:p>
        </w:tc>
        <w:tc>
          <w:tcPr>
            <w:tcW w:w="3020" w:type="dxa"/>
            <w:tcBorders/>
            <w:vAlign w:val="center"/>
          </w:tcPr>
          <w:p>
            <w:pPr>
              <w:pStyle w:val="TableContents"/>
              <w:bidi w:val="0"/>
              <w:spacing w:before="0" w:after="283"/>
              <w:jc w:val="left"/>
              <w:rPr/>
            </w:pPr>
            <w:r>
              <w:rPr/>
              <w:t>Computer and office equipment</w:t>
            </w:r>
          </w:p>
        </w:tc>
        <w:tc>
          <w:tcPr>
            <w:tcW w:w="8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 years</w:t>
            </w:r>
          </w:p>
        </w:tc>
      </w:tr>
      <w:tr>
        <w:trPr/>
        <w:tc>
          <w:tcPr>
            <w:tcW w:w="3250" w:type="dxa"/>
            <w:gridSpan w:val="2"/>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 </w:t>
            </w:r>
          </w:p>
        </w:tc>
      </w:tr>
      <w:tr>
        <w:trPr/>
        <w:tc>
          <w:tcPr>
            <w:tcW w:w="230" w:type="dxa"/>
            <w:tcBorders/>
            <w:vAlign w:val="center"/>
          </w:tcPr>
          <w:p>
            <w:pPr>
              <w:pStyle w:val="TableContents"/>
              <w:bidi w:val="0"/>
              <w:spacing w:before="0" w:after="0"/>
              <w:ind w:left="480" w:right="0" w:hanging="360"/>
              <w:jc w:val="left"/>
              <w:rPr>
                <w:caps w:val="false"/>
                <w:smallCaps w:val="false"/>
              </w:rPr>
            </w:pPr>
            <w:r>
              <w:rPr>
                <w:caps w:val="false"/>
                <w:smallCaps w:val="false"/>
              </w:rPr>
              <w:t>•</w:t>
            </w:r>
          </w:p>
        </w:tc>
        <w:tc>
          <w:tcPr>
            <w:tcW w:w="3020" w:type="dxa"/>
            <w:tcBorders/>
            <w:vAlign w:val="center"/>
          </w:tcPr>
          <w:p>
            <w:pPr>
              <w:pStyle w:val="TableContents"/>
              <w:bidi w:val="0"/>
              <w:spacing w:before="0" w:after="283"/>
              <w:jc w:val="left"/>
              <w:rPr/>
            </w:pPr>
            <w:r>
              <w:rPr/>
              <w:t>Scientific equipment</w:t>
            </w:r>
          </w:p>
        </w:tc>
        <w:tc>
          <w:tcPr>
            <w:tcW w:w="8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 years</w:t>
            </w:r>
          </w:p>
        </w:tc>
      </w:tr>
      <w:tr>
        <w:trPr/>
        <w:tc>
          <w:tcPr>
            <w:tcW w:w="3250" w:type="dxa"/>
            <w:gridSpan w:val="2"/>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 </w:t>
            </w:r>
          </w:p>
        </w:tc>
      </w:tr>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3020" w:type="dxa"/>
            <w:tcBorders/>
            <w:vAlign w:val="center"/>
          </w:tcPr>
          <w:p>
            <w:pPr>
              <w:pStyle w:val="TableContents"/>
              <w:bidi w:val="0"/>
              <w:spacing w:before="0" w:after="283"/>
              <w:jc w:val="left"/>
              <w:rPr/>
            </w:pPr>
            <w:r>
              <w:rPr/>
              <w:t>Vehicles</w:t>
            </w:r>
          </w:p>
        </w:tc>
        <w:tc>
          <w:tcPr>
            <w:tcW w:w="8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 years</w:t>
            </w:r>
          </w:p>
        </w:tc>
      </w:tr>
      <w:tr>
        <w:trPr/>
        <w:tc>
          <w:tcPr>
            <w:tcW w:w="3250" w:type="dxa"/>
            <w:gridSpan w:val="2"/>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 </w:t>
            </w:r>
          </w:p>
        </w:tc>
      </w:tr>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3020" w:type="dxa"/>
            <w:tcBorders/>
            <w:vAlign w:val="center"/>
          </w:tcPr>
          <w:p>
            <w:pPr>
              <w:pStyle w:val="TableContents"/>
              <w:bidi w:val="0"/>
              <w:spacing w:before="0" w:after="283"/>
              <w:jc w:val="left"/>
              <w:rPr/>
            </w:pPr>
            <w:r>
              <w:rPr/>
              <w:t>Mobile facility</w:t>
            </w:r>
          </w:p>
        </w:tc>
        <w:tc>
          <w:tcPr>
            <w:tcW w:w="8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27.5 years</w:t>
            </w:r>
          </w:p>
        </w:tc>
      </w:tr>
      <w:tr>
        <w:trPr/>
        <w:tc>
          <w:tcPr>
            <w:tcW w:w="3250" w:type="dxa"/>
            <w:gridSpan w:val="2"/>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 </w:t>
            </w:r>
          </w:p>
        </w:tc>
      </w:tr>
      <w:tr>
        <w:trPr/>
        <w:tc>
          <w:tcPr>
            <w:tcW w:w="230" w:type="dxa"/>
            <w:tcBorders/>
            <w:vAlign w:val="center"/>
          </w:tcPr>
          <w:p>
            <w:pPr>
              <w:pStyle w:val="TableContents"/>
              <w:bidi w:val="0"/>
              <w:spacing w:before="0" w:after="0"/>
              <w:ind w:left="480" w:right="0" w:hanging="360"/>
              <w:jc w:val="left"/>
              <w:rPr>
                <w:caps w:val="false"/>
                <w:smallCaps w:val="false"/>
              </w:rPr>
            </w:pPr>
            <w:r>
              <w:rPr>
                <w:caps w:val="false"/>
                <w:smallCaps w:val="false"/>
              </w:rPr>
              <w:t>•</w:t>
            </w:r>
          </w:p>
        </w:tc>
        <w:tc>
          <w:tcPr>
            <w:tcW w:w="3020" w:type="dxa"/>
            <w:tcBorders/>
            <w:vAlign w:val="center"/>
          </w:tcPr>
          <w:p>
            <w:pPr>
              <w:pStyle w:val="TableContents"/>
              <w:bidi w:val="0"/>
              <w:spacing w:before="0" w:after="283"/>
              <w:jc w:val="left"/>
              <w:rPr/>
            </w:pPr>
            <w:r>
              <w:rPr/>
              <w:t>Building</w:t>
            </w:r>
          </w:p>
        </w:tc>
        <w:tc>
          <w:tcPr>
            <w:tcW w:w="8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39 years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Costs of major additions and betterments are capitalized; maintenance and repairs, which do not improve or extend the life of the respective assets, are charged to expense as incurred. Upon retirement or sale, the cost of the disposed asset and the related accumulated depreciation are removed from the accounts and the resulting gain or loss is recognized in the consolidated statements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Impairment of Long-Lived Assets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The Company periodically evaluates its long-lived assets for potential impairment in accordance with ASC Topic 360, </w:t>
      </w:r>
      <w:r>
        <w:rPr>
          <w:rFonts w:ascii="Times New Roman" w:hAnsi="Times New Roman"/>
          <w:i/>
          <w:caps w:val="false"/>
          <w:smallCaps w:val="false"/>
          <w:sz w:val="20"/>
        </w:rPr>
        <w:t>Property, Plant and Equipment</w:t>
      </w:r>
      <w:r>
        <w:rPr>
          <w:rFonts w:ascii="Times New Roman" w:hAnsi="Times New Roman"/>
          <w:caps w:val="false"/>
          <w:smallCaps w:val="false"/>
          <w:sz w:val="20"/>
        </w:rPr>
        <w:t>. Potential impairment is assessed when there is evidence that events or changes in circumstances indicate that the carrying amount of an asset may not be recovered. The recoverability of these assets is assessed based on undiscounted expected future cash flows from the assets, considering a number of factors, including past operating results, budgets and economic projections, market trends and product development cycles. If impairments are identified, assets are written down to their estimated fair value. The Company has not recognized any impairment through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Foreign Currency Transactions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Certain transactions are denominated in a currency other than the Company’s functional currency of the U.S. dollar, and the Company generates assets and liabilities that are fixed in terms of the amount of foreign currency that will be received or paid. The only significant assets denominated in a foreign currency were certain cash accounts, which were remeasured into the functional currency (U.S. dollar) as of June 30, 2026, resulting in a foreign exchange loss of $1.4 million and $2.5 million for the three months and six months ended June 30, 2026, respectively. The foreign exchange gain for the three months and six months ended June 30, 2025, was $3.1 million and $3.4 million respectively. Transaction gains and losses are also realized upon a settlement of a foreign currency transaction in determining net loss for the period in which the transaction is settled.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Segment and Geographic Information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Operating segments are identified as components of an enterprise about which separate discrete financial information is available for evaluation by the chief operating decision maker, or decision making group, in making decisions on how to allocate resources and assess performance. The Company’s chief operating decision maker is the Chief Executive Officer. The Company and the chief operating decision maker view the Company’s operations and manage its business as one operating segment. Substantially all of the Company’s operations are in the U.S. geographic segment.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Net Loss Per Share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Net income/loss per share (“EPS”) is computed by dividing net loss by the weighted average number of common shares outstanding during each period. Diluted EPS is computed by dividing net income/loss by the weighted average number of common shares and common share equivalents outstanding (if dilutive) during each period. The number of common share equivalents, which include stock options, is computed using the treasury stock method. The Company does not include the potential impact of dilutive securities in diluted net loss per share, as the impact of these items is anti-dilutive. For the three months and six months ended June 30, 2026 and June 30, 2025, all stock options were not included in the computation of diluted net loss per share, as the impact of these items was anti-dilutive.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Subsequent Events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Company considered events or transactions occurring after June 30, 2026 but prior to the date the condensed consolidated financial statements are available to be issued for potential recognition or disclosure in its condensed consolidated financial statements. We have evaluated subsequent events through the date of filing this Form 10-Q.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Recent Accounting Pronouncements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Recently Issued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November 2024, the FASB issued ASU 2024-03, Income Statement — Reporting Comprehensive Income — Expense Disaggregation Disclosures (Subtopic 220-40): Disaggregation of Income Statement Expenses. This accounting update improves financial reporting by requiring public business entities to disclose additional information about specific expense categories in the notes to the financial statements at interim and annual reporting periods. This ASU is effective for fiscal years beginning after December 15, 2026, and interim periods within fiscal years beginning after December 15, 2027, with early adoption permitted. We are currently evaluating the impact of implementing this guidance on our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jc w:val="left"/>
        <w:rPr/>
      </w:pPr>
      <w:r>
        <w:rPr/>
        <w:t> </w:t>
      </w:r>
    </w:p>
    <w:tbl>
      <w:tblPr>
        <w:tblW w:w="2290" w:type="dxa"/>
        <w:jc w:val="left"/>
        <w:tblInd w:w="0" w:type="dxa"/>
        <w:tblLayout w:type="fixed"/>
        <w:tblCellMar>
          <w:top w:w="0" w:type="dxa"/>
          <w:left w:w="0" w:type="dxa"/>
          <w:bottom w:w="0" w:type="dxa"/>
          <w:right w:w="0" w:type="dxa"/>
        </w:tblCellMar>
      </w:tblPr>
      <w:tblGrid>
        <w:gridCol w:w="170"/>
        <w:gridCol w:w="2120"/>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3.</w:t>
            </w:r>
          </w:p>
        </w:tc>
        <w:tc>
          <w:tcPr>
            <w:tcW w:w="212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Property and Equipment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Property and equipment, is presented net of accumulated depreciation. Property and equipment, net, consisted of the following as of June 30, 2026 and December 31, 2025 (in thousands):</w:t>
      </w:r>
    </w:p>
    <w:p>
      <w:pPr>
        <w:pStyle w:val="TextBody"/>
        <w:bidi w:val="0"/>
        <w:spacing w:before="0" w:after="0"/>
        <w:ind w:left="0" w:right="0" w:hanging="0"/>
        <w:jc w:val="left"/>
        <w:rPr>
          <w:caps w:val="false"/>
          <w:smallCaps w:val="false"/>
        </w:rPr>
      </w:pPr>
      <w:r>
        <w:rPr>
          <w:caps w:val="false"/>
          <w:smallCaps w:val="false"/>
        </w:rPr>
        <w:t> </w:t>
      </w:r>
    </w:p>
    <w:tbl>
      <w:tblPr>
        <w:tblW w:w="5518" w:type="dxa"/>
        <w:jc w:val="left"/>
        <w:tblInd w:w="0" w:type="dxa"/>
        <w:tblLayout w:type="fixed"/>
        <w:tblCellMar>
          <w:top w:w="0" w:type="dxa"/>
          <w:left w:w="0" w:type="dxa"/>
          <w:bottom w:w="0" w:type="dxa"/>
          <w:right w:w="0" w:type="dxa"/>
        </w:tblCellMar>
      </w:tblPr>
      <w:tblGrid>
        <w:gridCol w:w="2450"/>
        <w:gridCol w:w="60"/>
        <w:gridCol w:w="208"/>
        <w:gridCol w:w="981"/>
        <w:gridCol w:w="60"/>
        <w:gridCol w:w="60"/>
        <w:gridCol w:w="284"/>
        <w:gridCol w:w="1355"/>
        <w:gridCol w:w="60"/>
      </w:tblGrid>
      <w:tr>
        <w:trPr/>
        <w:tc>
          <w:tcPr>
            <w:tcW w:w="2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9" w:type="dxa"/>
            <w:gridSpan w:val="2"/>
            <w:tcBorders/>
            <w:vAlign w:val="center"/>
          </w:tcPr>
          <w:p>
            <w:pPr>
              <w:pStyle w:val="TableContents"/>
              <w:bidi w:val="0"/>
              <w:spacing w:before="0" w:after="0"/>
              <w:ind w:left="0" w:right="0" w:hanging="0"/>
              <w:jc w:val="right"/>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39" w:type="dxa"/>
            <w:gridSpan w:val="2"/>
            <w:tcBorders/>
            <w:vAlign w:val="center"/>
          </w:tcPr>
          <w:p>
            <w:pPr>
              <w:pStyle w:val="TableContents"/>
              <w:bidi w:val="0"/>
              <w:spacing w:before="0" w:after="0"/>
              <w:ind w:left="0" w:right="0" w:hanging="0"/>
              <w:jc w:val="right"/>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 2025</w:t>
            </w:r>
          </w:p>
        </w:tc>
        <w:tc>
          <w:tcPr>
            <w:tcW w:w="60" w:type="dxa"/>
            <w:tcBorders/>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Manufacturing equipment</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8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567</w:t>
            </w:r>
          </w:p>
        </w:tc>
        <w:tc>
          <w:tcPr>
            <w:tcW w:w="60" w:type="dxa"/>
            <w:tcBorders/>
            <w:shd w:fill="CCEE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Winnebago building</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9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ind w:left="0" w:right="0" w:hanging="0"/>
              <w:jc w:val="left"/>
              <w:rPr/>
            </w:pPr>
            <w:r>
              <w:rPr/>
              <w:t> </w:t>
            </w:r>
          </w:p>
        </w:tc>
        <w:tc>
          <w:tcPr>
            <w:tcW w:w="13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20,716</w:t>
            </w:r>
          </w:p>
        </w:tc>
        <w:tc>
          <w:tcPr>
            <w:tcW w:w="60" w:type="dxa"/>
            <w:tcBorders/>
            <w:shd w:fill="FFFFFF" w:val="clear"/>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fixed assets</w:t>
            </w:r>
          </w:p>
        </w:tc>
        <w:tc>
          <w:tcPr>
            <w:tcW w:w="60" w:type="dxa"/>
            <w:tcBorders/>
            <w:shd w:fill="CCEEFF" w:val="clear"/>
            <w:vAlign w:val="center"/>
          </w:tcPr>
          <w:p>
            <w:pPr>
              <w:pStyle w:val="TableContents"/>
              <w:bidi w:val="0"/>
              <w:spacing w:before="0" w:after="283"/>
              <w:jc w:val="left"/>
              <w:rPr/>
            </w:pPr>
            <w:r>
              <w:rPr/>
              <w:t> </w:t>
            </w:r>
          </w:p>
        </w:tc>
        <w:tc>
          <w:tcPr>
            <w:tcW w:w="20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1,765</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28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1,846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property and equipment</w:t>
            </w:r>
          </w:p>
        </w:tc>
        <w:tc>
          <w:tcPr>
            <w:tcW w:w="60" w:type="dxa"/>
            <w:tcBorders/>
            <w:shd w:fill="FFFFFF" w:val="clear"/>
            <w:vAlign w:val="center"/>
          </w:tcPr>
          <w:p>
            <w:pPr>
              <w:pStyle w:val="TableContents"/>
              <w:bidi w:val="0"/>
              <w:spacing w:before="0" w:after="283"/>
              <w:ind w:left="0" w:right="0" w:hanging="0"/>
              <w:jc w:val="left"/>
              <w:rPr/>
            </w:pPr>
            <w:r>
              <w:rPr/>
              <w:t> </w:t>
            </w:r>
          </w:p>
        </w:tc>
        <w:tc>
          <w:tcPr>
            <w:tcW w:w="20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22,492</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8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23,129</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2950" w:type="dxa"/>
        <w:jc w:val="left"/>
        <w:tblInd w:w="0" w:type="dxa"/>
        <w:tblLayout w:type="fixed"/>
        <w:tblCellMar>
          <w:top w:w="0" w:type="dxa"/>
          <w:left w:w="0" w:type="dxa"/>
          <w:bottom w:w="0" w:type="dxa"/>
          <w:right w:w="0" w:type="dxa"/>
        </w:tblCellMar>
      </w:tblPr>
      <w:tblGrid>
        <w:gridCol w:w="170"/>
        <w:gridCol w:w="2780"/>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4.</w:t>
            </w:r>
          </w:p>
        </w:tc>
        <w:tc>
          <w:tcPr>
            <w:tcW w:w="278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Convertible Loan, Related Party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On January 3, 2024, the Company entered into a Convertible Loan Agreement (the “Loan”) with John Simard, the Company’s Founder, Chairman and Former Chief Executive Officer. The Loan provided $10 million in immediate funding for the construction of a new, state-of-the-art research and development facility at the Company’s property at 5217 Winnebago Lane in Austin, Texas. The Loan was secured by the real estate and cash holdings of the Company, with interest to accrue at a simple rate equal to eight percent per year and interest-only payments to be made at six-month intervals. At Mr. Simard’s election, the balance could be converted to XBiotech stock at any time the Loan balance was outstanding at a fixed conversion price equal to $4.048 per share. The conversion feature was subject to a 19.9% cap limiting the number of shares that could be converted under the Loan based on Mr. Simard’s total stock ownership in the Company at the time of conversion. The Loan included an acceleration feature, allowing Mr. Simard to declare immediate cash repayment or conversion under specific acceleration events, including certain financial and non-financial measures, such as payment defaults, breaches of covenants, drop in stock price below $3.00 per share or drop in cash position below $65,000,000. The Loan also allowed Mr. Simard to obtain immediate cash repayment of the Loan balance at his election one year after the loan is funded or upon certain other conditions set forth in the Loan. The Loan had a contractual maturity date of January 3, 2029. The Loan was negotiated, evaluated, and approved on behalf of the Company by a committee of independent and disinterested directors.  On January 31, 2025, the Loan was terminated upon full repayment by the Company. As a result, all conversion rights to XBiotech stock associated with the Loan were extinguished.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1525" w:type="dxa"/>
        <w:jc w:val="left"/>
        <w:tblInd w:w="0" w:type="dxa"/>
        <w:tblLayout w:type="fixed"/>
        <w:tblCellMar>
          <w:top w:w="0" w:type="dxa"/>
          <w:left w:w="0" w:type="dxa"/>
          <w:bottom w:w="0" w:type="dxa"/>
          <w:right w:w="0" w:type="dxa"/>
        </w:tblCellMar>
      </w:tblPr>
      <w:tblGrid>
        <w:gridCol w:w="170"/>
        <w:gridCol w:w="1355"/>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5.</w:t>
            </w:r>
          </w:p>
        </w:tc>
        <w:tc>
          <w:tcPr>
            <w:tcW w:w="135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Common Stock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Pursuant to its Articles, the Company has an unlimited number of shares available for issuance with no par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No stock options were exercised during the six months ended June 30, 2025 or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2230" w:type="dxa"/>
        <w:jc w:val="left"/>
        <w:tblInd w:w="0" w:type="dxa"/>
        <w:tblLayout w:type="fixed"/>
        <w:tblCellMar>
          <w:top w:w="0" w:type="dxa"/>
          <w:left w:w="0" w:type="dxa"/>
          <w:bottom w:w="0" w:type="dxa"/>
          <w:right w:w="0" w:type="dxa"/>
        </w:tblCellMar>
      </w:tblPr>
      <w:tblGrid>
        <w:gridCol w:w="170"/>
        <w:gridCol w:w="2060"/>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6.</w:t>
            </w:r>
          </w:p>
        </w:tc>
        <w:tc>
          <w:tcPr>
            <w:tcW w:w="206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Common Stock Options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On November 11, 2005, the board of directors of the Company adopted the XBiotech Inc. 2005 Incentive Stock Option Plan (the “2005 Plan”). On March 24, 2015, the board of directors of the Company adopted the 2015 Equity Incentive Plan (the “2015 Plan”) and on August 29, 2025, the board of directors of the Company adopted the 2025 Equity Incentive Plan (the “2025 Plan”) pursuant to which the Company may grant incentive stock and non-qualified stock options to directors, officers, employees or consultants of the Company or an affiliate or other persons as the Compensation Committee may approve.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All options under the Plans will be non-transferable and may be exercised only by the participant, or in the event of the death of the participant, a legal representative until the earlier of the options’ expiration date or the first anniversary of the participant’s death, or such other date as may be specified by the Compensation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term of the options is at the discretion of the Compensation Committee, but may not exceed 10 years from the grant date. The options expire on the earlier of the expiration date or the date three months following the day on which the participant ceases to be an officer or employee of or consultant to the Company, or in the event of the termination of the participant with cause, the date of such termination. Options held by non-employee Directors have an exercise period coterminous with the term of the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number of common shares reserved for issuance to any one person pursuant to the Plans shall not, in aggregate, exceed 5% of the total number of outstanding common shares. The exercise price per common share under each option will be the fair market value of such shares at the time of the grant. Upon stock option exercise, the Company issues new shares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 summary of changes in common stock options issued under the Plans is as follows:</w:t>
      </w:r>
    </w:p>
    <w:p>
      <w:pPr>
        <w:pStyle w:val="TextBody"/>
        <w:bidi w:val="0"/>
        <w:spacing w:before="0" w:after="0"/>
        <w:ind w:left="0" w:right="0" w:hanging="0"/>
        <w:jc w:val="left"/>
        <w:rPr>
          <w:caps w:val="false"/>
          <w:smallCaps w:val="false"/>
        </w:rPr>
      </w:pPr>
      <w:r>
        <w:rPr>
          <w:caps w:val="false"/>
          <w:smallCaps w:val="false"/>
        </w:rPr>
        <w:t> </w:t>
      </w:r>
    </w:p>
    <w:tbl>
      <w:tblPr>
        <w:tblW w:w="7644" w:type="dxa"/>
        <w:jc w:val="left"/>
        <w:tblInd w:w="0" w:type="dxa"/>
        <w:tblLayout w:type="fixed"/>
        <w:tblCellMar>
          <w:top w:w="0" w:type="dxa"/>
          <w:left w:w="0" w:type="dxa"/>
          <w:bottom w:w="0" w:type="dxa"/>
          <w:right w:w="0" w:type="dxa"/>
        </w:tblCellMar>
      </w:tblPr>
      <w:tblGrid>
        <w:gridCol w:w="3500"/>
        <w:gridCol w:w="60"/>
        <w:gridCol w:w="60"/>
        <w:gridCol w:w="845"/>
        <w:gridCol w:w="80"/>
        <w:gridCol w:w="60"/>
        <w:gridCol w:w="77"/>
        <w:gridCol w:w="1172"/>
        <w:gridCol w:w="60"/>
        <w:gridCol w:w="60"/>
        <w:gridCol w:w="398"/>
        <w:gridCol w:w="1212"/>
        <w:gridCol w:w="60"/>
      </w:tblGrid>
      <w:tr>
        <w:trPr/>
        <w:tc>
          <w:tcPr>
            <w:tcW w:w="3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Options</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2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Exercise Price</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6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Weighted-Average</w:t>
              <w:br/>
              <w:t>Exercise Price</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Options outstanding at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5,473,907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49" w:type="dxa"/>
            <w:gridSpan w:val="2"/>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$2.31-$21.74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9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7.45</w:t>
            </w:r>
          </w:p>
        </w:tc>
        <w:tc>
          <w:tcPr>
            <w:tcW w:w="60" w:type="dxa"/>
            <w:tcBorders/>
            <w:shd w:fill="CCEEFF" w:val="clear"/>
            <w:vAlign w:val="center"/>
          </w:tcPr>
          <w:p>
            <w:pPr>
              <w:pStyle w:val="TableContents"/>
              <w:bidi w:val="0"/>
              <w:spacing w:before="0" w:after="283"/>
              <w:jc w:val="left"/>
              <w:rPr/>
            </w:pPr>
            <w:r>
              <w:rPr/>
              <w:t> </w:t>
            </w:r>
          </w:p>
        </w:tc>
      </w:tr>
      <w:tr>
        <w:trPr/>
        <w:tc>
          <w:tcPr>
            <w:tcW w:w="350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11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2.31-2.61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8" w:type="dxa"/>
            <w:tcBorders/>
            <w:shd w:fill="FFFFFF" w:val="clear"/>
            <w:vAlign w:val="center"/>
          </w:tcPr>
          <w:p>
            <w:pPr>
              <w:pStyle w:val="TableContents"/>
              <w:bidi w:val="0"/>
              <w:spacing w:before="0" w:after="283"/>
              <w:ind w:left="0" w:right="0" w:hanging="0"/>
              <w:jc w:val="left"/>
              <w:rPr/>
            </w:pPr>
            <w:r>
              <w:rPr/>
              <w:t> </w:t>
            </w:r>
          </w:p>
        </w:tc>
        <w:tc>
          <w:tcPr>
            <w:tcW w:w="121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2.45</w:t>
            </w:r>
          </w:p>
        </w:tc>
        <w:tc>
          <w:tcPr>
            <w:tcW w:w="60" w:type="dxa"/>
            <w:tcBorders/>
            <w:shd w:fill="FFFFFF" w:val="clear"/>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Exercised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11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8" w:type="dxa"/>
            <w:tcBorders/>
            <w:shd w:fill="CCEEFF" w:val="clear"/>
            <w:vAlign w:val="center"/>
          </w:tcPr>
          <w:p>
            <w:pPr>
              <w:pStyle w:val="TableContents"/>
              <w:bidi w:val="0"/>
              <w:spacing w:before="0" w:after="283"/>
              <w:ind w:left="0" w:right="0" w:hanging="0"/>
              <w:jc w:val="left"/>
              <w:rPr/>
            </w:pPr>
            <w:r>
              <w:rPr/>
              <w:t> </w:t>
            </w:r>
          </w:p>
        </w:tc>
        <w:tc>
          <w:tcPr>
            <w:tcW w:w="12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r>
      <w:tr>
        <w:trPr/>
        <w:tc>
          <w:tcPr>
            <w:tcW w:w="350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Forfeitures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(104,750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3.84-16.50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39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1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Options outstanding at June 30, 2026</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5,380,957</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49" w:type="dxa"/>
            <w:gridSpan w:val="2"/>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$2.31-$21.74</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9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1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7.41</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7644" w:type="dxa"/>
        <w:jc w:val="left"/>
        <w:tblInd w:w="0" w:type="dxa"/>
        <w:tblLayout w:type="fixed"/>
        <w:tblCellMar>
          <w:top w:w="0" w:type="dxa"/>
          <w:left w:w="0" w:type="dxa"/>
          <w:bottom w:w="0" w:type="dxa"/>
          <w:right w:w="0" w:type="dxa"/>
        </w:tblCellMar>
      </w:tblPr>
      <w:tblGrid>
        <w:gridCol w:w="3500"/>
        <w:gridCol w:w="60"/>
        <w:gridCol w:w="60"/>
        <w:gridCol w:w="845"/>
        <w:gridCol w:w="80"/>
        <w:gridCol w:w="60"/>
        <w:gridCol w:w="77"/>
        <w:gridCol w:w="1172"/>
        <w:gridCol w:w="60"/>
        <w:gridCol w:w="60"/>
        <w:gridCol w:w="329"/>
        <w:gridCol w:w="1281"/>
        <w:gridCol w:w="60"/>
      </w:tblGrid>
      <w:tr>
        <w:trPr/>
        <w:tc>
          <w:tcPr>
            <w:tcW w:w="3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Options</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2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Exercise Price</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6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Weighted-Average</w:t>
              <w:br/>
              <w:t>Exercise Price</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Options outstanding at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4,331,585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49" w:type="dxa"/>
            <w:gridSpan w:val="2"/>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$2.71-$21.74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2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8.89</w:t>
            </w:r>
          </w:p>
        </w:tc>
        <w:tc>
          <w:tcPr>
            <w:tcW w:w="60" w:type="dxa"/>
            <w:tcBorders/>
            <w:shd w:fill="CCEEFF" w:val="clear"/>
            <w:vAlign w:val="center"/>
          </w:tcPr>
          <w:p>
            <w:pPr>
              <w:pStyle w:val="TableContents"/>
              <w:bidi w:val="0"/>
              <w:spacing w:before="0" w:after="283"/>
              <w:jc w:val="left"/>
              <w:rPr/>
            </w:pPr>
            <w:r>
              <w:rPr/>
              <w:t> </w:t>
            </w:r>
          </w:p>
        </w:tc>
      </w:tr>
      <w:tr>
        <w:trPr/>
        <w:tc>
          <w:tcPr>
            <w:tcW w:w="350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1,066,096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11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3.25-3.89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9" w:type="dxa"/>
            <w:tcBorders/>
            <w:shd w:fill="FFFFFF" w:val="clear"/>
            <w:vAlign w:val="center"/>
          </w:tcPr>
          <w:p>
            <w:pPr>
              <w:pStyle w:val="TableContents"/>
              <w:bidi w:val="0"/>
              <w:spacing w:before="0" w:after="283"/>
              <w:ind w:left="0" w:right="0" w:hanging="0"/>
              <w:jc w:val="left"/>
              <w:rPr/>
            </w:pPr>
            <w:r>
              <w:rPr/>
              <w:t> </w:t>
            </w:r>
          </w:p>
        </w:tc>
        <w:tc>
          <w:tcPr>
            <w:tcW w:w="12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3.52</w:t>
            </w:r>
          </w:p>
        </w:tc>
        <w:tc>
          <w:tcPr>
            <w:tcW w:w="60" w:type="dxa"/>
            <w:tcBorders/>
            <w:shd w:fill="FFFFFF" w:val="clear"/>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Exercised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11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9" w:type="dxa"/>
            <w:tcBorders/>
            <w:shd w:fill="CCEEFF" w:val="clear"/>
            <w:vAlign w:val="center"/>
          </w:tcPr>
          <w:p>
            <w:pPr>
              <w:pStyle w:val="TableContents"/>
              <w:bidi w:val="0"/>
              <w:spacing w:before="0" w:after="283"/>
              <w:ind w:left="0" w:right="0" w:hanging="0"/>
              <w:jc w:val="left"/>
              <w:rPr/>
            </w:pPr>
            <w:r>
              <w:rPr/>
              <w:t> </w:t>
            </w:r>
          </w:p>
        </w:tc>
        <w:tc>
          <w:tcPr>
            <w:tcW w:w="12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r>
      <w:tr>
        <w:trPr/>
        <w:tc>
          <w:tcPr>
            <w:tcW w:w="350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Forfeitures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(45,000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3.84-19.00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3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Options outstanding at June 30,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5,352,681</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49" w:type="dxa"/>
            <w:gridSpan w:val="2"/>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$2.71-$21.74</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As of June 30, 2026, there was approximately $114 thousand unrecognized compensation cost, related to stock options granted under the Plans which will be amortized to stock compensation expense over the next 1.22 years. Total exercisable stock options as of June 30, 2026 is approximately 5.2 million. The weighted-average exercise price of options exercisable as of June 30, 2026 is $7.57 per share and the weighted-average remaining contractual term is 5.2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1465" w:type="dxa"/>
        <w:jc w:val="left"/>
        <w:tblInd w:w="0" w:type="dxa"/>
        <w:tblLayout w:type="fixed"/>
        <w:tblCellMar>
          <w:top w:w="0" w:type="dxa"/>
          <w:left w:w="0" w:type="dxa"/>
          <w:bottom w:w="0" w:type="dxa"/>
          <w:right w:w="0" w:type="dxa"/>
        </w:tblCellMar>
      </w:tblPr>
      <w:tblGrid>
        <w:gridCol w:w="215"/>
        <w:gridCol w:w="1250"/>
      </w:tblGrid>
      <w:tr>
        <w:trPr/>
        <w:tc>
          <w:tcPr>
            <w:tcW w:w="21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7. </w:t>
            </w:r>
          </w:p>
        </w:tc>
        <w:tc>
          <w:tcPr>
            <w:tcW w:w="125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Income Taxes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Company's effective tax rates for the three months ended June 30, 2026 and June 30, 2025, were -0.7% and -1.6% respectively. The effective tax rate for the three months periods ended June 30, 2026 and June 30, 2025 varied from the Canadian statutory rate primarily due to losses in jurisdictions for which a valuation allowance is recorded.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Company's effective tax rates for the six months ended June 30, 2026 and June 30, 2025, were -0.8% and -0.5%, respectively. The effective tax rate for the six months periods ended June 30, 2026 and June 30, 2025 varied from the Canadian statutory rate primarily due losses in jurisdictions for which a valuation allowance is recorded.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MANAGEMENT</w:t>
      </w:r>
      <w:r>
        <w:rPr>
          <w:rFonts w:ascii="Times New Roman" w:hAnsi="Times New Roman"/>
          <w:caps w:val="false"/>
          <w:smallCaps w:val="false"/>
          <w:sz w:val="20"/>
        </w:rPr>
        <w:t>’</w:t>
      </w:r>
      <w:r>
        <w:rPr>
          <w:rFonts w:ascii="Times New Roman" w:hAnsi="Times New Roman"/>
          <w:b/>
          <w:caps w:val="false"/>
          <w:smallCaps w:val="false"/>
          <w:sz w:val="20"/>
        </w:rPr>
        <w:t>S DISCUSSION AND ANALYSIS OF FINANCIAL CONDITION AND RESULTS OF OPERATIONS</w:t>
      </w:r>
      <w:bookmarkStart w:id="8" w:name="p1i2"/>
      <w:bookmarkEnd w:id="8"/>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XBiotech Inc. (“XBiotech” or the “Company”) is a pre-market biopharmaceutical company engaged in discovering and developing True Human™ monoclonal antibodies for treating a variety of diseases. True Human™ monoclonal antibodies are those which occur naturally in human beings—as opposed to being derived from animal immunization or otherwise engineered. We believe that naturally occurring monoclonal antibodies have the potential to be safer and more effective than their non-naturally occurring counterparts. XBiotech is focused on developing its True Human™ pipeline and manufacturing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Following the Janssen Transaction in December 2019, the tender offer in February 2020, and the dividends paid in July 2021, the accumulated deficit as of June 30, 2026 was ($148.6) million. We had net losses of $6.7 million and $12.2 million for the three months and six months ended June 30, 2026, respectively, compared to $1.8 million and $12.6 million for the three months and six months ended June 30, 2025, respectively. We do not expect to generate any revenue in 2026. In addition, we expect to incur significant and increasing operating losses for the foreseeable future as we advance our drug candidates from discovery through preclinical and clinical testing. In addition to these increasing research and development expenses, we expect general and administrative costs to increase, particularly in consideration of current inflationary trends. We will need to generate significant revenues to achieve or sustain profitability, and we may never do so. As of June 30, 2026, we had 87 employees. Subsequent to June 30, 2026, the Company implemented a workforce reduction. Management does not expect the related costs to be material to the Company's financial position, results of operations, or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Research and Development Expenses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Research and development expenses consist of expenses incurred in connection with identifying and developing our drug candidates. These expenses consist primarily of salaries and related expenses, stock-based compensation, the purchase of equipment, laboratory and manufacturing supplies, facility costs, costs for preclinical and clinical research, development of quality control systems, quality assurance programs and manufacturing processes. We charge all research and development expenses to operating expenses as incurred.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clinical development costs may further increase going forward with potentially more advanced studies in the future as we evaluate our clinical data and pipeline.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Clinical development timelines, likelihood of success and total costs vary widely. We do not currently track our internal research and development costs or our personnel and related costs on an individual drug candidate basis. We use our research and development resources, including employees and our drug discovery technology, across multiple drug development programs. As a result, we cannot state precisely the costs incurred for each of our research and development programs or our clinical and preclinical drug candidates. From inception through June 30, 2026, we have recorded total research and development expenses, including share-based compensation, of $407.6 million. Our total research and development expenses for the three months and six months ended June 30, 2026 were $5.3 million and $10.5 million, respectively, compared to $5.3 million and $17.0 million for the three months and six months ended June 30, 2025, respectively. Share-based compensation accounted for $6 thousand and $14.5 thousand for the three months and six months ended June 30, 2026, respectively, compared to $19 thousand and $2.7 million for the three months and six months ended June 30, 2025, respectively, related to research and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Research and development expenses, as a percentage of total operating expenses for the three months and six months ended June 30, 2026 were 86% and 85%, respectively, compared to 84% and 85% for the three months and six months ended June 30, 2025, respectively. The percentages, excluding share-based compensation, for the three months and six months ended June 30, 2026 were 89% and 87%, respectively, compared to 85% and 87% for the three months and six months ended 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will select drug candidates and research projects for further development on an ongoing basis in response to their preclinical and clinical success and commercial potential. For research and development candidates in early stages of development, it is premature to estimate when material net cash inflows from these projects might occur.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General and Administrative Expenses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General and administrative expense consists primarily of salaries and related expenses for personnel in administrative, finance, business development and human resource functions, as well as the legal costs of pursuing patent protection of our intellectual property and patent filing and maintenance expenses, share–based compensation, and professional fees for legal services. Our total general and administration expenses for the three months and six months ended June 30, 2026 were $0.9 million and $1.9 million, respectively, compared to $1.0 million and $2.9 million for the three months and six months ended June 30, 2025, respectively. Share-based compensation accounted for $166 thousand and $330 thousand for the three months and six months ended June 30, 2026, respectively, and $88 thousand and $0.8 million for the three months and six months ended June 30, 2025, respectively, related to general and administrative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General and administrative expenses, as a percentage of total operating expenses for the three months and six months ended June 30, 2026 were 14% and 15%, respectively, compared to 16% and 15% for the three months and six months ended June 30, 2025, respectively. The percentages, excluding share-based compensation, for the three months and six months ended June 30, 2026 were 11% and 13%, respectively, compared to 15% and 13% for the three months and six months ended 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Critical Accounting Policies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Management’s Discussion and Analysis of Financial Condition and Results of Operations is based on our financial statements, which have been prepared in conformity with generally accepted accounting principles in the United States (U.S. GAAP). The preparation of our financial statements requires us to make estimates and assumptions that affect the reported amounts of assets and liabilities and expenses incurred during the reported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base estimates on our historical experience, known trends and various other factors that we believe are reasonable under the circumstances, the results of which form the basis for making judgments about the carrying value of assets and liabilities that are not apparent from other sources. Actual results may differ from these estimates under different assumptions or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While our significant accounting policies are more fully described in the notes to our unaudited condensed consolidated financial statements appearing in this Quarterly Report on Form 10-Q, we believe that the following accounting policies are the most critical to understanding and evaluating our reported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account for income taxes under the asset and liability method. We record deferred tax assets and liabilities for the future tax consequences attributable to differences between the financial statement carrying amounts of existing assets and liabilities and their respective tax bases, as well as for operating loss and tax credit carryforwards. We measure deferred tax assets and liabilities using enacted tax rates expected to apply to taxable income in the years in which we expect to recover or settle those temporary differences. We recognize the effect of a change in tax rates on deferred tax assets and liabilities in the results of operations in the period that includes the enactment date. We assess the likelihood that deferred tax assets will be realized, and we recognize a valuation allowance if it is more likely than not that some portion of the deferred tax assets will not be realized. This assessment requires judgment as to the likelihood and amounts of future taxable income by tax jurisdiction. As of June 30, 2026 and December 31, 2025, we have provided a valuation allowance against our deferred tax assets as we believe the objective and verifiable evidence of our historical pretax net losses outweighs any positive evidence of our forecasted future results. Although we believe that our tax estimates are reasonable, the ultimate tax determination involves significant judgment. We will continue to monitor the positive and negative evidence and will adjust the valuation allowance as sufficient objective positive evidence becomes available.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600"/>
        <w:jc w:val="left"/>
        <w:rPr>
          <w:rFonts w:ascii="Times New Roman" w:hAnsi="Times New Roman"/>
          <w:caps w:val="false"/>
          <w:smallCaps w:val="false"/>
          <w:sz w:val="20"/>
        </w:rPr>
      </w:pPr>
      <w:r>
        <w:rPr>
          <w:rFonts w:ascii="Times New Roman" w:hAnsi="Times New Roman"/>
          <w:caps w:val="false"/>
          <w:smallCaps w:val="false"/>
          <w:sz w:val="20"/>
        </w:rPr>
        <w:t>We account for uncertain tax positions by recognizing the financial statement effects of a tax position only when, based upon technical merits, it is more likely than not that the position will be sustained upon examination. We recognize potential accrued interest and penalties associated with unrecognized tax positions within our global operations in income tax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Clinical Trial Accruals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Expense accruals related to clinical trials are based on actual services received and efforts expended pursuant to contracts with third party service providers which conduct and manage clinical trials on the Company’s behalf. The financial terms of these agreements vary from contract to contract and may result in uneven payment flows. Payments under some of these contracts depend on factors such as the successful enrollment of patients and the completion of clinical trial milestones. The Company accrues costs based on the actual services rendered in the period over which services were performed and the level of effort expended in each period based upon patient enrollment, clinical site activations, or information provided to the Company by its vendors on their actual costs incurred. Any estimates of the level of services performed or the costs of these services could differ from actual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Results of Operations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Expenses</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i/>
          <w:caps w:val="false"/>
          <w:smallCaps w:val="false"/>
          <w:sz w:val="20"/>
        </w:rPr>
      </w:pPr>
      <w:r>
        <w:rPr>
          <w:rFonts w:ascii="Times New Roman" w:hAnsi="Times New Roman"/>
          <w:i/>
          <w:caps w:val="false"/>
          <w:smallCaps w:val="false"/>
          <w:sz w:val="20"/>
        </w:rPr>
        <w:t>Research and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Research and Development costs are summarized as follows (in thousands):</w:t>
      </w:r>
    </w:p>
    <w:p>
      <w:pPr>
        <w:pStyle w:val="TextBody"/>
        <w:bidi w:val="0"/>
        <w:spacing w:before="0" w:after="0"/>
        <w:ind w:left="0" w:right="0" w:hanging="0"/>
        <w:jc w:val="left"/>
        <w:rPr>
          <w:caps w:val="false"/>
          <w:smallCaps w:val="false"/>
        </w:rPr>
      </w:pPr>
      <w:r>
        <w:rPr>
          <w:caps w:val="false"/>
          <w:smallCaps w:val="false"/>
        </w:rPr>
        <w:t> </w:t>
      </w:r>
    </w:p>
    <w:tbl>
      <w:tblPr>
        <w:tblW w:w="8326" w:type="dxa"/>
        <w:jc w:val="left"/>
        <w:tblInd w:w="0" w:type="dxa"/>
        <w:tblLayout w:type="fixed"/>
        <w:tblCellMar>
          <w:top w:w="0" w:type="dxa"/>
          <w:left w:w="0" w:type="dxa"/>
          <w:bottom w:w="0" w:type="dxa"/>
          <w:right w:w="0" w:type="dxa"/>
        </w:tblCellMar>
      </w:tblPr>
      <w:tblGrid>
        <w:gridCol w:w="3215"/>
        <w:gridCol w:w="60"/>
        <w:gridCol w:w="236"/>
        <w:gridCol w:w="919"/>
        <w:gridCol w:w="113"/>
        <w:gridCol w:w="113"/>
        <w:gridCol w:w="236"/>
        <w:gridCol w:w="919"/>
        <w:gridCol w:w="60"/>
        <w:gridCol w:w="60"/>
        <w:gridCol w:w="125"/>
        <w:gridCol w:w="905"/>
        <w:gridCol w:w="80"/>
        <w:gridCol w:w="60"/>
        <w:gridCol w:w="60"/>
        <w:gridCol w:w="980"/>
        <w:gridCol w:w="185"/>
      </w:tblGrid>
      <w:tr>
        <w:trPr/>
        <w:tc>
          <w:tcPr>
            <w:tcW w:w="3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3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5" w:type="dxa"/>
            <w:tcBorders/>
            <w:vAlign w:val="center"/>
          </w:tcPr>
          <w:p>
            <w:pPr>
              <w:pStyle w:val="TableContents"/>
              <w:bidi w:val="0"/>
              <w:spacing w:before="0" w:after="0"/>
              <w:ind w:left="0" w:right="0" w:hanging="0"/>
              <w:jc w:val="center"/>
              <w:rPr>
                <w:caps w:val="false"/>
                <w:smallCaps w:val="false"/>
              </w:rPr>
            </w:pPr>
            <w:r>
              <w:rPr>
                <w:caps w:val="false"/>
                <w:smallCaps w:val="false"/>
              </w:rPr>
              <w:t> </w:t>
            </w:r>
          </w:p>
        </w:tc>
        <w:tc>
          <w:tcPr>
            <w:tcW w:w="90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Increase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0"/>
              <w:ind w:left="0" w:right="0" w:hanging="0"/>
              <w:jc w:val="center"/>
              <w:rPr>
                <w:caps w:val="false"/>
                <w:smallCaps w:val="false"/>
              </w:rPr>
            </w:pPr>
            <w:r>
              <w:rPr>
                <w:caps w:val="false"/>
                <w:smallCaps w:val="false"/>
              </w:rPr>
              <w:t> </w:t>
            </w:r>
          </w:p>
        </w:tc>
        <w:tc>
          <w:tcPr>
            <w:tcW w:w="98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Increase</w:t>
            </w:r>
          </w:p>
        </w:tc>
        <w:tc>
          <w:tcPr>
            <w:tcW w:w="185" w:type="dxa"/>
            <w:tcBorders/>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13" w:type="dxa"/>
            <w:tcBorders>
              <w:bottom w:val="single" w:sz="2" w:space="0" w:color="000000"/>
            </w:tcBorders>
            <w:tcMar>
              <w:bottom w:w="28" w:type="dxa"/>
            </w:tcMar>
            <w:vAlign w:val="center"/>
          </w:tcPr>
          <w:p>
            <w:pPr>
              <w:pStyle w:val="TableContents"/>
              <w:bidi w:val="0"/>
              <w:spacing w:before="0" w:after="283"/>
              <w:jc w:val="left"/>
              <w:rPr/>
            </w:pPr>
            <w:r>
              <w:rPr/>
              <w:t> </w:t>
            </w:r>
          </w:p>
        </w:tc>
        <w:tc>
          <w:tcPr>
            <w:tcW w:w="113"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1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25" w:type="dxa"/>
            <w:tcBorders>
              <w:bottom w:val="single" w:sz="2" w:space="0" w:color="000000"/>
            </w:tcBorders>
            <w:tcMar>
              <w:bottom w:w="28" w:type="dxa"/>
            </w:tcMar>
            <w:vAlign w:val="center"/>
          </w:tcPr>
          <w:p>
            <w:pPr>
              <w:pStyle w:val="TableContents"/>
              <w:bidi w:val="0"/>
              <w:spacing w:before="0" w:after="0"/>
              <w:ind w:left="0" w:right="0" w:hanging="0"/>
              <w:jc w:val="center"/>
              <w:rPr>
                <w:caps w:val="false"/>
                <w:smallCaps w:val="false"/>
              </w:rPr>
            </w:pPr>
            <w:r>
              <w:rPr>
                <w:caps w:val="false"/>
                <w:smallCaps w:val="false"/>
              </w:rPr>
              <w:t> </w:t>
            </w:r>
          </w:p>
        </w:tc>
        <w:tc>
          <w:tcPr>
            <w:tcW w:w="905" w:type="dxa"/>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(Decrease)</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60" w:type="dxa"/>
            <w:tcBorders>
              <w:bottom w:val="single" w:sz="2" w:space="0" w:color="000000"/>
            </w:tcBorders>
            <w:tcMar>
              <w:bottom w:w="28" w:type="dxa"/>
            </w:tcMar>
            <w:vAlign w:val="center"/>
          </w:tcPr>
          <w:p>
            <w:pPr>
              <w:pStyle w:val="TableContents"/>
              <w:bidi w:val="0"/>
              <w:spacing w:before="0" w:after="0"/>
              <w:ind w:left="0" w:right="0" w:hanging="0"/>
              <w:jc w:val="center"/>
              <w:rPr>
                <w:caps w:val="false"/>
                <w:smallCaps w:val="false"/>
              </w:rPr>
            </w:pPr>
            <w:r>
              <w:rPr>
                <w:caps w:val="false"/>
                <w:smallCaps w:val="false"/>
              </w:rPr>
              <w:t> </w:t>
            </w:r>
          </w:p>
        </w:tc>
        <w:tc>
          <w:tcPr>
            <w:tcW w:w="980" w:type="dxa"/>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(Decrease)</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Salaries and related expenses</w:t>
            </w:r>
          </w:p>
        </w:tc>
        <w:tc>
          <w:tcPr>
            <w:tcW w:w="60" w:type="dxa"/>
            <w:tcBorders/>
            <w:shd w:fill="CCEEFF" w:val="clear"/>
            <w:vAlign w:val="center"/>
          </w:tcPr>
          <w:p>
            <w:pPr>
              <w:pStyle w:val="TableContents"/>
              <w:bidi w:val="0"/>
              <w:spacing w:before="0" w:after="283"/>
              <w:ind w:left="0" w:right="0" w:hanging="0"/>
              <w:jc w:val="left"/>
              <w:rPr/>
            </w:pPr>
            <w:r>
              <w:rPr/>
              <w:t> </w:t>
            </w:r>
          </w:p>
        </w:tc>
        <w:tc>
          <w:tcPr>
            <w:tcW w:w="23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2,743</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ind w:left="0" w:right="0" w:hanging="0"/>
              <w:jc w:val="left"/>
              <w:rPr/>
            </w:pPr>
            <w:r>
              <w:rPr/>
              <w:t> </w:t>
            </w:r>
          </w:p>
        </w:tc>
        <w:tc>
          <w:tcPr>
            <w:tcW w:w="23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Laboratory and manufacturing supplies</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ind w:left="0" w:right="0" w:hanging="0"/>
              <w:jc w:val="left"/>
              <w:rPr/>
            </w:pPr>
            <w:r>
              <w:rPr/>
              <w:t> </w:t>
            </w:r>
          </w:p>
        </w:tc>
        <w:tc>
          <w:tcPr>
            <w:tcW w:w="91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503</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ind w:left="0" w:right="0" w:hanging="0"/>
              <w:jc w:val="left"/>
              <w:rPr/>
            </w:pPr>
            <w:r>
              <w:rPr/>
              <w:t> </w:t>
            </w:r>
          </w:p>
        </w:tc>
        <w:tc>
          <w:tcPr>
            <w:tcW w:w="91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Clinical trials and sponsored research</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ind w:left="0" w:right="0" w:hanging="0"/>
              <w:jc w:val="left"/>
              <w:rPr/>
            </w:pPr>
            <w:r>
              <w:rPr/>
              <w:t> </w:t>
            </w:r>
          </w:p>
        </w:tc>
        <w:tc>
          <w:tcPr>
            <w:tcW w:w="9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ind w:left="0" w:right="0" w:hanging="0"/>
              <w:jc w:val="left"/>
              <w:rPr/>
            </w:pPr>
            <w:r>
              <w:rPr/>
              <w:t> </w:t>
            </w:r>
          </w:p>
        </w:tc>
        <w:tc>
          <w:tcPr>
            <w:tcW w:w="9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ind w:left="0" w:right="0" w:hanging="0"/>
              <w:jc w:val="left"/>
              <w:rPr/>
            </w:pPr>
            <w:r>
              <w:rPr/>
              <w:t> </w:t>
            </w:r>
          </w:p>
        </w:tc>
        <w:tc>
          <w:tcPr>
            <w:tcW w:w="91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ind w:left="0" w:right="0" w:hanging="0"/>
              <w:jc w:val="left"/>
              <w:rPr/>
            </w:pPr>
            <w:r>
              <w:rPr/>
              <w:t> </w:t>
            </w:r>
          </w:p>
        </w:tc>
        <w:tc>
          <w:tcPr>
            <w:tcW w:w="91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Facility allocation</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ind w:left="0" w:right="0" w:hanging="0"/>
              <w:jc w:val="left"/>
              <w:rPr/>
            </w:pPr>
            <w:r>
              <w:rPr/>
              <w:t> </w:t>
            </w:r>
          </w:p>
        </w:tc>
        <w:tc>
          <w:tcPr>
            <w:tcW w:w="9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1,361</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ind w:left="0" w:right="0" w:hanging="0"/>
              <w:jc w:val="left"/>
              <w:rPr/>
            </w:pPr>
            <w:r>
              <w:rPr/>
              <w:t> </w:t>
            </w:r>
          </w:p>
        </w:tc>
        <w:tc>
          <w:tcPr>
            <w:tcW w:w="9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2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463</w:t>
            </w:r>
          </w:p>
        </w:tc>
        <w:tc>
          <w:tcPr>
            <w:tcW w:w="11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23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5,296</w:t>
            </w:r>
          </w:p>
        </w:tc>
        <w:tc>
          <w:tcPr>
            <w:tcW w:w="11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3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5,336</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8088" w:type="dxa"/>
        <w:jc w:val="left"/>
        <w:tblInd w:w="0" w:type="dxa"/>
        <w:tblLayout w:type="fixed"/>
        <w:tblCellMar>
          <w:top w:w="0" w:type="dxa"/>
          <w:left w:w="0" w:type="dxa"/>
          <w:bottom w:w="0" w:type="dxa"/>
          <w:right w:w="0" w:type="dxa"/>
        </w:tblCellMar>
      </w:tblPr>
      <w:tblGrid>
        <w:gridCol w:w="3215"/>
        <w:gridCol w:w="60"/>
        <w:gridCol w:w="185"/>
        <w:gridCol w:w="875"/>
        <w:gridCol w:w="89"/>
        <w:gridCol w:w="89"/>
        <w:gridCol w:w="185"/>
        <w:gridCol w:w="875"/>
        <w:gridCol w:w="60"/>
        <w:gridCol w:w="60"/>
        <w:gridCol w:w="125"/>
        <w:gridCol w:w="905"/>
        <w:gridCol w:w="80"/>
        <w:gridCol w:w="60"/>
        <w:gridCol w:w="60"/>
        <w:gridCol w:w="980"/>
        <w:gridCol w:w="185"/>
      </w:tblGrid>
      <w:tr>
        <w:trPr/>
        <w:tc>
          <w:tcPr>
            <w:tcW w:w="3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9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90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Increase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Increase</w:t>
            </w:r>
          </w:p>
        </w:tc>
        <w:tc>
          <w:tcPr>
            <w:tcW w:w="185" w:type="dxa"/>
            <w:tcBorders/>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9" w:type="dxa"/>
            <w:tcBorders>
              <w:bottom w:val="single" w:sz="2" w:space="0" w:color="000000"/>
            </w:tcBorders>
            <w:tcMar>
              <w:bottom w:w="28" w:type="dxa"/>
            </w:tcMar>
            <w:vAlign w:val="center"/>
          </w:tcPr>
          <w:p>
            <w:pPr>
              <w:pStyle w:val="TableContents"/>
              <w:bidi w:val="0"/>
              <w:spacing w:before="0" w:after="283"/>
              <w:jc w:val="left"/>
              <w:rPr/>
            </w:pPr>
            <w:r>
              <w:rPr/>
              <w:t> </w:t>
            </w:r>
          </w:p>
        </w:tc>
        <w:tc>
          <w:tcPr>
            <w:tcW w:w="89"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0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25" w:type="dxa"/>
            <w:tcBorders>
              <w:bottom w:val="single" w:sz="2" w:space="0" w:color="000000"/>
            </w:tcBorders>
            <w:tcMar>
              <w:bottom w:w="28" w:type="dxa"/>
            </w:tcMar>
            <w:vAlign w:val="center"/>
          </w:tcPr>
          <w:p>
            <w:pPr>
              <w:pStyle w:val="TableContents"/>
              <w:bidi w:val="0"/>
              <w:spacing w:before="0" w:after="0"/>
              <w:ind w:left="0" w:right="0" w:hanging="0"/>
              <w:jc w:val="left"/>
              <w:rPr>
                <w:caps w:val="false"/>
                <w:smallCaps w:val="false"/>
              </w:rPr>
            </w:pPr>
            <w:r>
              <w:rPr>
                <w:caps w:val="false"/>
                <w:smallCaps w:val="false"/>
              </w:rPr>
              <w:t> </w:t>
            </w:r>
          </w:p>
        </w:tc>
        <w:tc>
          <w:tcPr>
            <w:tcW w:w="905" w:type="dxa"/>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(Decrease)</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60" w:type="dxa"/>
            <w:tcBorders>
              <w:bottom w:val="single" w:sz="2" w:space="0" w:color="000000"/>
            </w:tcBorders>
            <w:tcMar>
              <w:bottom w:w="28" w:type="dxa"/>
            </w:tcMar>
            <w:vAlign w:val="center"/>
          </w:tcPr>
          <w:p>
            <w:pPr>
              <w:pStyle w:val="TableContents"/>
              <w:bidi w:val="0"/>
              <w:spacing w:before="0" w:after="0"/>
              <w:ind w:left="0" w:right="0" w:hanging="0"/>
              <w:jc w:val="left"/>
              <w:rPr>
                <w:caps w:val="false"/>
                <w:smallCaps w:val="false"/>
              </w:rPr>
            </w:pPr>
            <w:r>
              <w:rPr>
                <w:caps w:val="false"/>
                <w:smallCaps w:val="false"/>
              </w:rPr>
              <w:t> </w:t>
            </w:r>
          </w:p>
        </w:tc>
        <w:tc>
          <w:tcPr>
            <w:tcW w:w="980" w:type="dxa"/>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(Decrease)</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Salaries and related expenses</w:t>
            </w:r>
          </w:p>
        </w:tc>
        <w:tc>
          <w:tcPr>
            <w:tcW w:w="60" w:type="dxa"/>
            <w:tcBorders/>
            <w:shd w:fill="CCEEFF" w:val="clear"/>
            <w:vAlign w:val="center"/>
          </w:tcPr>
          <w:p>
            <w:pPr>
              <w:pStyle w:val="TableContents"/>
              <w:bidi w:val="0"/>
              <w:spacing w:before="0" w:after="283"/>
              <w:ind w:left="0" w:right="0" w:hanging="0"/>
              <w:jc w:val="left"/>
              <w:rPr/>
            </w:pPr>
            <w:r>
              <w:rPr/>
              <w:t> </w:t>
            </w:r>
          </w:p>
        </w:tc>
        <w:tc>
          <w:tcPr>
            <w:tcW w:w="18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5,581</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18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(3,512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Laboratory and manufacturing supplies</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8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1,109</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8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Clinical trials and sponsored research</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8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363</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8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8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8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(2,666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Facility allocation</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8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2,496</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8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940</w:t>
            </w:r>
          </w:p>
        </w:tc>
        <w:tc>
          <w:tcPr>
            <w:tcW w:w="8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8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10,503</w:t>
            </w:r>
          </w:p>
        </w:tc>
        <w:tc>
          <w:tcPr>
            <w:tcW w:w="8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16,954</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(6,451</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do not currently track our internal research and development costs or our personnel and related costs on an individual drug candidate basis. We use our research and development resources, including employees and our drug discovery technology, across multiple drug development programs. As a result, we cannot state precisely the costs incurred for each of our research and development programs or our clinical and preclinical drug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Research and development expenses decreased by $40 thousand to $5.3 million for the three months ended June 30, 2026,. Laboratory and manufacturing supplies decreased primarily due to lower purchases of laboratory and manufacturing supplies during the quarter. Clinical trial and sponsored research expenses decreased primarily because no significant clinical trial activities were conducted during the three months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Research and development expenses decreased by $6.5 million to $10.5 million for the six months ended June 30, 2026, compared to $17.0 million for the six months ended June 30, 2025. The decrease of salaries and related expenses was mainly due to the $4.0 million bonus to the former Chief Executive Officer Mr. Simard in March 2025 in which 85%, or $3.4 million was allocated to research and development expenses. Stock-based compensation decreased due to the issuance of stock options with immediate vesting and grant date fair value of $3.0 million to the former Chief Executive Officer Mr. Simard in March 2025, with 85% or $2.5 million of the expense allocated to research and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i/>
          <w:caps w:val="false"/>
          <w:smallCaps w:val="false"/>
          <w:sz w:val="20"/>
        </w:rPr>
      </w:pPr>
      <w:r>
        <w:rPr>
          <w:rFonts w:ascii="Times New Roman" w:hAnsi="Times New Roman"/>
          <w:i/>
          <w:caps w:val="false"/>
          <w:smallCaps w:val="false"/>
          <w:sz w:val="20"/>
        </w:rPr>
        <w:t>General and Administrative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General and administrative costs are summarized as follows (in thousands):</w:t>
      </w:r>
    </w:p>
    <w:p>
      <w:pPr>
        <w:pStyle w:val="TextBody"/>
        <w:bidi w:val="0"/>
        <w:spacing w:before="0" w:after="0"/>
        <w:ind w:left="0" w:right="0" w:firstLine="500"/>
        <w:jc w:val="left"/>
        <w:rPr>
          <w:caps w:val="false"/>
          <w:smallCaps w:val="false"/>
        </w:rPr>
      </w:pPr>
      <w:r>
        <w:rPr>
          <w:caps w:val="false"/>
          <w:smallCaps w:val="false"/>
        </w:rPr>
        <w:t> </w:t>
      </w:r>
    </w:p>
    <w:tbl>
      <w:tblPr>
        <w:tblW w:w="7488" w:type="dxa"/>
        <w:jc w:val="left"/>
        <w:tblInd w:w="0" w:type="dxa"/>
        <w:tblLayout w:type="fixed"/>
        <w:tblCellMar>
          <w:top w:w="0" w:type="dxa"/>
          <w:left w:w="0" w:type="dxa"/>
          <w:bottom w:w="0" w:type="dxa"/>
          <w:right w:w="0" w:type="dxa"/>
        </w:tblCellMar>
      </w:tblPr>
      <w:tblGrid>
        <w:gridCol w:w="2375"/>
        <w:gridCol w:w="60"/>
        <w:gridCol w:w="266"/>
        <w:gridCol w:w="715"/>
        <w:gridCol w:w="128"/>
        <w:gridCol w:w="128"/>
        <w:gridCol w:w="266"/>
        <w:gridCol w:w="1035"/>
        <w:gridCol w:w="60"/>
        <w:gridCol w:w="60"/>
        <w:gridCol w:w="125"/>
        <w:gridCol w:w="905"/>
        <w:gridCol w:w="80"/>
        <w:gridCol w:w="60"/>
        <w:gridCol w:w="60"/>
        <w:gridCol w:w="980"/>
        <w:gridCol w:w="185"/>
      </w:tblGrid>
      <w:tr>
        <w:trPr/>
        <w:tc>
          <w:tcPr>
            <w:tcW w:w="23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38"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90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Increase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Increase</w:t>
            </w:r>
          </w:p>
        </w:tc>
        <w:tc>
          <w:tcPr>
            <w:tcW w:w="185" w:type="dxa"/>
            <w:tcBorders/>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28" w:type="dxa"/>
            <w:tcBorders>
              <w:bottom w:val="single" w:sz="2" w:space="0" w:color="000000"/>
            </w:tcBorders>
            <w:tcMar>
              <w:bottom w:w="28" w:type="dxa"/>
            </w:tcMar>
            <w:vAlign w:val="center"/>
          </w:tcPr>
          <w:p>
            <w:pPr>
              <w:pStyle w:val="TableContents"/>
              <w:bidi w:val="0"/>
              <w:spacing w:before="0" w:after="283"/>
              <w:jc w:val="left"/>
              <w:rPr/>
            </w:pPr>
            <w:r>
              <w:rPr/>
              <w:t> </w:t>
            </w:r>
          </w:p>
        </w:tc>
        <w:tc>
          <w:tcPr>
            <w:tcW w:w="128"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3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25" w:type="dxa"/>
            <w:tcBorders>
              <w:bottom w:val="single" w:sz="2" w:space="0" w:color="000000"/>
            </w:tcBorders>
            <w:tcMar>
              <w:bottom w:w="28" w:type="dxa"/>
            </w:tcMar>
            <w:vAlign w:val="center"/>
          </w:tcPr>
          <w:p>
            <w:pPr>
              <w:pStyle w:val="TableContents"/>
              <w:bidi w:val="0"/>
              <w:spacing w:before="0" w:after="0"/>
              <w:ind w:left="0" w:right="0" w:hanging="0"/>
              <w:jc w:val="left"/>
              <w:rPr>
                <w:caps w:val="false"/>
                <w:smallCaps w:val="false"/>
              </w:rPr>
            </w:pPr>
            <w:r>
              <w:rPr>
                <w:caps w:val="false"/>
                <w:smallCaps w:val="false"/>
              </w:rPr>
              <w:t> </w:t>
            </w:r>
          </w:p>
        </w:tc>
        <w:tc>
          <w:tcPr>
            <w:tcW w:w="905" w:type="dxa"/>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(Decrease)</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60" w:type="dxa"/>
            <w:tcBorders>
              <w:bottom w:val="single" w:sz="2" w:space="0" w:color="000000"/>
            </w:tcBorders>
            <w:tcMar>
              <w:bottom w:w="28" w:type="dxa"/>
            </w:tcMar>
            <w:vAlign w:val="center"/>
          </w:tcPr>
          <w:p>
            <w:pPr>
              <w:pStyle w:val="TableContents"/>
              <w:bidi w:val="0"/>
              <w:spacing w:before="0" w:after="0"/>
              <w:ind w:left="0" w:right="0" w:hanging="0"/>
              <w:jc w:val="left"/>
              <w:rPr>
                <w:caps w:val="false"/>
                <w:smallCaps w:val="false"/>
              </w:rPr>
            </w:pPr>
            <w:r>
              <w:rPr>
                <w:caps w:val="false"/>
                <w:smallCaps w:val="false"/>
              </w:rPr>
              <w:t> </w:t>
            </w:r>
          </w:p>
        </w:tc>
        <w:tc>
          <w:tcPr>
            <w:tcW w:w="980" w:type="dxa"/>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(Decrease)</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3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Salaries and related expenses</w:t>
            </w:r>
          </w:p>
        </w:tc>
        <w:tc>
          <w:tcPr>
            <w:tcW w:w="60" w:type="dxa"/>
            <w:tcBorders/>
            <w:shd w:fill="CCEEFF" w:val="clear"/>
            <w:vAlign w:val="center"/>
          </w:tcPr>
          <w:p>
            <w:pPr>
              <w:pStyle w:val="TableContents"/>
              <w:bidi w:val="0"/>
              <w:spacing w:before="0" w:after="283"/>
              <w:ind w:left="0" w:right="0" w:hanging="0"/>
              <w:jc w:val="left"/>
              <w:rPr/>
            </w:pPr>
            <w:r>
              <w:rPr/>
              <w:t> </w:t>
            </w:r>
          </w:p>
        </w:tc>
        <w:tc>
          <w:tcPr>
            <w:tcW w:w="26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w:t>
            </w:r>
          </w:p>
        </w:tc>
        <w:tc>
          <w:tcPr>
            <w:tcW w:w="128"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26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3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Patent filing expense</w:t>
            </w:r>
          </w:p>
        </w:tc>
        <w:tc>
          <w:tcPr>
            <w:tcW w:w="60"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ind w:left="0" w:right="0" w:hanging="0"/>
              <w:jc w:val="left"/>
              <w:rPr/>
            </w:pPr>
            <w:r>
              <w:rPr/>
              <w:t> </w:t>
            </w:r>
          </w:p>
        </w:tc>
        <w:tc>
          <w:tcPr>
            <w:tcW w:w="7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w:t>
            </w:r>
          </w:p>
        </w:tc>
        <w:tc>
          <w:tcPr>
            <w:tcW w:w="128"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ind w:left="0" w:right="0" w:hanging="0"/>
              <w:jc w:val="left"/>
              <w:rPr/>
            </w:pPr>
            <w:r>
              <w:rPr/>
              <w:t> </w:t>
            </w:r>
          </w:p>
        </w:tc>
        <w:tc>
          <w:tcPr>
            <w:tcW w:w="10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3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p>
        </w:tc>
        <w:tc>
          <w:tcPr>
            <w:tcW w:w="6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ind w:left="0" w:right="0" w:hanging="0"/>
              <w:jc w:val="left"/>
              <w:rPr/>
            </w:pPr>
            <w:r>
              <w:rPr/>
              <w:t> </w:t>
            </w:r>
          </w:p>
        </w:tc>
        <w:tc>
          <w:tcPr>
            <w:tcW w:w="7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w:t>
            </w:r>
          </w:p>
        </w:tc>
        <w:tc>
          <w:tcPr>
            <w:tcW w:w="128"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ind w:left="0" w:right="0" w:hanging="0"/>
              <w:jc w:val="left"/>
              <w:rPr/>
            </w:pPr>
            <w:r>
              <w:rPr/>
              <w:t> </w:t>
            </w:r>
          </w:p>
        </w:tc>
        <w:tc>
          <w:tcPr>
            <w:tcW w:w="10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3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Professional fees</w:t>
            </w:r>
          </w:p>
        </w:tc>
        <w:tc>
          <w:tcPr>
            <w:tcW w:w="60"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ind w:left="0" w:right="0" w:hanging="0"/>
              <w:jc w:val="left"/>
              <w:rPr/>
            </w:pPr>
            <w:r>
              <w:rPr/>
              <w:t> </w:t>
            </w:r>
          </w:p>
        </w:tc>
        <w:tc>
          <w:tcPr>
            <w:tcW w:w="7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w:t>
            </w:r>
          </w:p>
        </w:tc>
        <w:tc>
          <w:tcPr>
            <w:tcW w:w="128"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ind w:left="0" w:right="0" w:hanging="0"/>
              <w:jc w:val="left"/>
              <w:rPr/>
            </w:pPr>
            <w:r>
              <w:rPr/>
              <w:t> </w:t>
            </w:r>
          </w:p>
        </w:tc>
        <w:tc>
          <w:tcPr>
            <w:tcW w:w="10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3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26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w:t>
            </w:r>
          </w:p>
        </w:tc>
        <w:tc>
          <w:tcPr>
            <w:tcW w:w="128"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8"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26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3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26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850</w:t>
            </w:r>
          </w:p>
        </w:tc>
        <w:tc>
          <w:tcPr>
            <w:tcW w:w="12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6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7246" w:type="dxa"/>
        <w:jc w:val="left"/>
        <w:tblInd w:w="0" w:type="dxa"/>
        <w:tblLayout w:type="fixed"/>
        <w:tblCellMar>
          <w:top w:w="0" w:type="dxa"/>
          <w:left w:w="0" w:type="dxa"/>
          <w:bottom w:w="0" w:type="dxa"/>
          <w:right w:w="0" w:type="dxa"/>
        </w:tblCellMar>
      </w:tblPr>
      <w:tblGrid>
        <w:gridCol w:w="2375"/>
        <w:gridCol w:w="60"/>
        <w:gridCol w:w="214"/>
        <w:gridCol w:w="832"/>
        <w:gridCol w:w="102"/>
        <w:gridCol w:w="102"/>
        <w:gridCol w:w="214"/>
        <w:gridCol w:w="832"/>
        <w:gridCol w:w="60"/>
        <w:gridCol w:w="60"/>
        <w:gridCol w:w="125"/>
        <w:gridCol w:w="905"/>
        <w:gridCol w:w="80"/>
        <w:gridCol w:w="60"/>
        <w:gridCol w:w="60"/>
        <w:gridCol w:w="980"/>
        <w:gridCol w:w="185"/>
      </w:tblGrid>
      <w:tr>
        <w:trPr/>
        <w:tc>
          <w:tcPr>
            <w:tcW w:w="23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96"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90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Increase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Increase</w:t>
            </w:r>
          </w:p>
        </w:tc>
        <w:tc>
          <w:tcPr>
            <w:tcW w:w="185" w:type="dxa"/>
            <w:tcBorders/>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02" w:type="dxa"/>
            <w:tcBorders>
              <w:bottom w:val="single" w:sz="2" w:space="0" w:color="000000"/>
            </w:tcBorders>
            <w:tcMar>
              <w:bottom w:w="28" w:type="dxa"/>
            </w:tcMar>
            <w:vAlign w:val="center"/>
          </w:tcPr>
          <w:p>
            <w:pPr>
              <w:pStyle w:val="TableContents"/>
              <w:bidi w:val="0"/>
              <w:spacing w:before="0" w:after="283"/>
              <w:jc w:val="left"/>
              <w:rPr/>
            </w:pPr>
            <w:r>
              <w:rPr/>
              <w:t> </w:t>
            </w:r>
          </w:p>
        </w:tc>
        <w:tc>
          <w:tcPr>
            <w:tcW w:w="102"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0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25" w:type="dxa"/>
            <w:tcBorders>
              <w:bottom w:val="single" w:sz="2" w:space="0" w:color="000000"/>
            </w:tcBorders>
            <w:tcMar>
              <w:bottom w:w="28" w:type="dxa"/>
            </w:tcMar>
            <w:vAlign w:val="center"/>
          </w:tcPr>
          <w:p>
            <w:pPr>
              <w:pStyle w:val="TableContents"/>
              <w:bidi w:val="0"/>
              <w:spacing w:before="0" w:after="0"/>
              <w:ind w:left="0" w:right="0" w:hanging="0"/>
              <w:jc w:val="left"/>
              <w:rPr>
                <w:caps w:val="false"/>
                <w:smallCaps w:val="false"/>
              </w:rPr>
            </w:pPr>
            <w:r>
              <w:rPr>
                <w:caps w:val="false"/>
                <w:smallCaps w:val="false"/>
              </w:rPr>
              <w:t> </w:t>
            </w:r>
          </w:p>
        </w:tc>
        <w:tc>
          <w:tcPr>
            <w:tcW w:w="905" w:type="dxa"/>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(Decrease)</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60" w:type="dxa"/>
            <w:tcBorders>
              <w:bottom w:val="single" w:sz="2" w:space="0" w:color="000000"/>
            </w:tcBorders>
            <w:tcMar>
              <w:bottom w:w="28" w:type="dxa"/>
            </w:tcMar>
            <w:vAlign w:val="center"/>
          </w:tcPr>
          <w:p>
            <w:pPr>
              <w:pStyle w:val="TableContents"/>
              <w:bidi w:val="0"/>
              <w:spacing w:before="0" w:after="0"/>
              <w:ind w:left="0" w:right="0" w:hanging="0"/>
              <w:jc w:val="left"/>
              <w:rPr>
                <w:caps w:val="false"/>
                <w:smallCaps w:val="false"/>
              </w:rPr>
            </w:pPr>
            <w:r>
              <w:rPr>
                <w:caps w:val="false"/>
                <w:smallCaps w:val="false"/>
              </w:rPr>
              <w:t> </w:t>
            </w:r>
          </w:p>
        </w:tc>
        <w:tc>
          <w:tcPr>
            <w:tcW w:w="980" w:type="dxa"/>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(Decrease)</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3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Salaries and related expenses</w:t>
            </w:r>
          </w:p>
        </w:tc>
        <w:tc>
          <w:tcPr>
            <w:tcW w:w="60" w:type="dxa"/>
            <w:tcBorders/>
            <w:shd w:fill="CCEEFF" w:val="clear"/>
            <w:vAlign w:val="center"/>
          </w:tcPr>
          <w:p>
            <w:pPr>
              <w:pStyle w:val="TableContents"/>
              <w:bidi w:val="0"/>
              <w:spacing w:before="0" w:after="283"/>
              <w:ind w:left="0" w:right="0" w:hanging="0"/>
              <w:jc w:val="left"/>
              <w:rPr/>
            </w:pPr>
            <w:r>
              <w:rPr/>
              <w:t> </w:t>
            </w:r>
          </w:p>
        </w:tc>
        <w:tc>
          <w:tcPr>
            <w:tcW w:w="21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410</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ind w:left="0" w:right="0" w:hanging="0"/>
              <w:jc w:val="left"/>
              <w:rPr/>
            </w:pPr>
            <w:r>
              <w:rPr/>
              <w:t> </w:t>
            </w:r>
          </w:p>
        </w:tc>
        <w:tc>
          <w:tcPr>
            <w:tcW w:w="21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3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Patent filing expense</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ind w:left="0" w:right="0" w:hanging="0"/>
              <w:jc w:val="left"/>
              <w:rPr/>
            </w:pPr>
            <w:r>
              <w:rPr/>
              <w:t> </w:t>
            </w:r>
          </w:p>
        </w:tc>
        <w:tc>
          <w:tcPr>
            <w:tcW w:w="8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368</w:t>
            </w:r>
          </w:p>
        </w:tc>
        <w:tc>
          <w:tcPr>
            <w:tcW w:w="102"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ind w:left="0" w:right="0" w:hanging="0"/>
              <w:jc w:val="left"/>
              <w:rPr/>
            </w:pPr>
            <w:r>
              <w:rPr/>
              <w:t> </w:t>
            </w:r>
          </w:p>
        </w:tc>
        <w:tc>
          <w:tcPr>
            <w:tcW w:w="8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3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ind w:left="0" w:right="0" w:hanging="0"/>
              <w:jc w:val="left"/>
              <w:rPr/>
            </w:pPr>
            <w:r>
              <w:rPr/>
              <w:t> </w:t>
            </w:r>
          </w:p>
        </w:tc>
        <w:tc>
          <w:tcPr>
            <w:tcW w:w="8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330</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ind w:left="0" w:right="0" w:hanging="0"/>
              <w:jc w:val="left"/>
              <w:rPr/>
            </w:pPr>
            <w:r>
              <w:rPr/>
              <w:t> </w:t>
            </w:r>
          </w:p>
        </w:tc>
        <w:tc>
          <w:tcPr>
            <w:tcW w:w="8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3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Professional fees</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ind w:left="0" w:right="0" w:hanging="0"/>
              <w:jc w:val="left"/>
              <w:rPr/>
            </w:pPr>
            <w:r>
              <w:rPr/>
              <w:t> </w:t>
            </w:r>
          </w:p>
        </w:tc>
        <w:tc>
          <w:tcPr>
            <w:tcW w:w="8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545</w:t>
            </w:r>
          </w:p>
        </w:tc>
        <w:tc>
          <w:tcPr>
            <w:tcW w:w="102"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ind w:left="0" w:right="0" w:hanging="0"/>
              <w:jc w:val="left"/>
              <w:rPr/>
            </w:pPr>
            <w:r>
              <w:rPr/>
              <w:t> </w:t>
            </w:r>
          </w:p>
        </w:tc>
        <w:tc>
          <w:tcPr>
            <w:tcW w:w="8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3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21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264</w:t>
            </w:r>
          </w:p>
        </w:tc>
        <w:tc>
          <w:tcPr>
            <w:tcW w:w="10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0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21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301</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3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21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1,917</w:t>
            </w:r>
          </w:p>
        </w:tc>
        <w:tc>
          <w:tcPr>
            <w:tcW w:w="10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1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2,932</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(1,015</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General and administrative expenses decreased $150 thousand to $850 thousand for the three months ended June 30, 2026 compared to $1.0 million for the three months ended June 30, 2025. General and administrative expenses decreased $1.0 million to $1.9 million for the six months ended June 30, 2026 compared to $2.9 million for the six months ended 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three months decrease was primarily related to the decrease of professional fees, mainly due to the additional legal service regarding the annual meeting during the three months ended 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Compared to the six months ended June 30, 2025, the decrease in the general and administrative expense in the six months ended June 30, 2026 was also primarily due to the decrease in salaries and related expenses and shared-based compensation. The decrease in salaries and related expenses was due to the $4.0 million bonus to the former Chief Executive Officer Mr. Simard in March 2025, in which 15% or $0.6 million was allocated to general and administrative expenses. Stock-based compensation decreased due to the issuance of $3.0 million in stock options to the former Chief Executive Officer Mr. Simard in March 2025, with 15% or $0.5 million of the expenses allocated to general and administrative department.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Other income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following table summarizes other income (loss) (in thousands):</w:t>
      </w:r>
    </w:p>
    <w:p>
      <w:pPr>
        <w:pStyle w:val="TextBody"/>
        <w:bidi w:val="0"/>
        <w:spacing w:before="0" w:after="0"/>
        <w:ind w:left="0" w:right="0" w:hanging="0"/>
        <w:jc w:val="left"/>
        <w:rPr>
          <w:caps w:val="false"/>
          <w:smallCaps w:val="false"/>
        </w:rPr>
      </w:pPr>
      <w:r>
        <w:rPr>
          <w:caps w:val="false"/>
          <w:smallCaps w:val="false"/>
        </w:rPr>
        <w:t> </w:t>
      </w:r>
    </w:p>
    <w:tbl>
      <w:tblPr>
        <w:tblW w:w="6064" w:type="dxa"/>
        <w:jc w:val="left"/>
        <w:tblInd w:w="0" w:type="dxa"/>
        <w:tblLayout w:type="fixed"/>
        <w:tblCellMar>
          <w:top w:w="0" w:type="dxa"/>
          <w:left w:w="0" w:type="dxa"/>
          <w:bottom w:w="0" w:type="dxa"/>
          <w:right w:w="0" w:type="dxa"/>
        </w:tblCellMar>
      </w:tblPr>
      <w:tblGrid>
        <w:gridCol w:w="2360"/>
        <w:gridCol w:w="60"/>
        <w:gridCol w:w="161"/>
        <w:gridCol w:w="704"/>
        <w:gridCol w:w="103"/>
        <w:gridCol w:w="77"/>
        <w:gridCol w:w="161"/>
        <w:gridCol w:w="626"/>
        <w:gridCol w:w="80"/>
        <w:gridCol w:w="60"/>
        <w:gridCol w:w="140"/>
        <w:gridCol w:w="612"/>
        <w:gridCol w:w="89"/>
        <w:gridCol w:w="67"/>
        <w:gridCol w:w="140"/>
        <w:gridCol w:w="544"/>
        <w:gridCol w:w="80"/>
      </w:tblGrid>
      <w:tr>
        <w:trPr/>
        <w:tc>
          <w:tcPr>
            <w:tcW w:w="23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32"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Three Months Ended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92"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Six Months Ended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80" w:type="dxa"/>
            <w:tcBorders/>
            <w:vAlign w:val="center"/>
          </w:tcPr>
          <w:p>
            <w:pPr>
              <w:pStyle w:val="TableContents"/>
              <w:bidi w:val="0"/>
              <w:spacing w:before="0" w:after="283"/>
              <w:jc w:val="left"/>
              <w:rPr/>
            </w:pPr>
            <w:r>
              <w:rPr/>
              <w:t> </w:t>
            </w:r>
          </w:p>
        </w:tc>
      </w:tr>
      <w:tr>
        <w:trPr/>
        <w:tc>
          <w:tcPr>
            <w:tcW w:w="23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03" w:type="dxa"/>
            <w:tcBorders>
              <w:bottom w:val="single" w:sz="2" w:space="0" w:color="000000"/>
            </w:tcBorders>
            <w:tcMar>
              <w:bottom w:w="28" w:type="dxa"/>
            </w:tcMar>
            <w:vAlign w:val="center"/>
          </w:tcPr>
          <w:p>
            <w:pPr>
              <w:pStyle w:val="TableContents"/>
              <w:bidi w:val="0"/>
              <w:spacing w:before="0" w:after="283"/>
              <w:jc w:val="left"/>
              <w:rPr/>
            </w:pPr>
            <w:r>
              <w:rPr/>
              <w:t> </w:t>
            </w:r>
          </w:p>
        </w:tc>
        <w:tc>
          <w:tcPr>
            <w:tcW w:w="77"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7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7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9" w:type="dxa"/>
            <w:tcBorders>
              <w:bottom w:val="single" w:sz="2" w:space="0" w:color="000000"/>
            </w:tcBorders>
            <w:tcMar>
              <w:bottom w:w="28" w:type="dxa"/>
            </w:tcMar>
            <w:vAlign w:val="center"/>
          </w:tcPr>
          <w:p>
            <w:pPr>
              <w:pStyle w:val="TableContents"/>
              <w:bidi w:val="0"/>
              <w:spacing w:before="0" w:after="283"/>
              <w:jc w:val="left"/>
              <w:rPr/>
            </w:pPr>
            <w:r>
              <w:rPr/>
              <w:t> </w:t>
            </w:r>
          </w:p>
        </w:tc>
        <w:tc>
          <w:tcPr>
            <w:tcW w:w="67"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6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6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885</w:t>
            </w:r>
          </w:p>
        </w:tc>
        <w:tc>
          <w:tcPr>
            <w:tcW w:w="10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16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1,799</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ind w:left="0" w:right="0" w:hanging="0"/>
              <w:jc w:val="left"/>
              <w:rPr/>
            </w:pPr>
            <w:r>
              <w:rPr/>
              <w:t> </w:t>
            </w:r>
          </w:p>
        </w:tc>
        <w:tc>
          <w:tcPr>
            <w:tcW w:w="14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3,034</w:t>
            </w:r>
          </w:p>
        </w:tc>
        <w:tc>
          <w:tcPr>
            <w:tcW w:w="80" w:type="dxa"/>
            <w:tcBorders/>
            <w:shd w:fill="CCEE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7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0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6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61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54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(loss) income</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7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10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7"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6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6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1,027</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5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992</w:t>
            </w:r>
          </w:p>
        </w:tc>
        <w:tc>
          <w:tcPr>
            <w:tcW w:w="80" w:type="dxa"/>
            <w:tcBorders/>
            <w:shd w:fill="CCEE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exchange (loss) gain</w:t>
            </w:r>
          </w:p>
        </w:tc>
        <w:tc>
          <w:tcPr>
            <w:tcW w:w="60" w:type="dxa"/>
            <w:tcBorders/>
            <w:shd w:fill="FFFFFF" w:val="clear"/>
            <w:vAlign w:val="center"/>
          </w:tcPr>
          <w:p>
            <w:pPr>
              <w:pStyle w:val="TableContents"/>
              <w:bidi w:val="0"/>
              <w:spacing w:before="0" w:after="283"/>
              <w:jc w:val="left"/>
              <w:rPr/>
            </w:pPr>
            <w:r>
              <w:rPr/>
              <w:t> </w:t>
            </w:r>
          </w:p>
        </w:tc>
        <w:tc>
          <w:tcPr>
            <w:tcW w:w="16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0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(1,412</w:t>
            </w:r>
          </w:p>
        </w:tc>
        <w:tc>
          <w:tcPr>
            <w:tcW w:w="103"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6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2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3,081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1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(2,544</w:t>
            </w:r>
          </w:p>
        </w:tc>
        <w:tc>
          <w:tcPr>
            <w:tcW w:w="89"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3,365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6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(536</w:t>
            </w:r>
          </w:p>
        </w:tc>
        <w:tc>
          <w:tcPr>
            <w:tcW w:w="10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6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4,608</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282</w:t>
            </w:r>
          </w:p>
        </w:tc>
        <w:tc>
          <w:tcPr>
            <w:tcW w:w="8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7,303</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interest income for the three months and six months ended June 30, 2026 and 2025 was from the interest generated from the Company’s Canadian bank accounts. The interest expense for the six months ended June 30, 2025 was the interest for the convertible loans. The other income during the six months ended June 30, 2026 was primarily attributable to the receipt of an Employee Retention Credit from the Internal Revenue Service. The other income during the six months ended June 30, 2025 was the cancellation of a penalty by the Canada Revenue Agency for the 2020 tax year. Foreign exchange (loss) gain was mainly due to the fluctuation between the US dollar and the Canadian dollar in the three months and six months ended June 30, 2026 compared to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Liquidity and Capital Resources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cash requirements could change materially as a result of the progress of our research and development and clinical programs, licensing activities, acquisitions, divestitures or other corporate developments.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Since our inception on March 22, 2005 through June 30, 2025, we have funded our operations principally through private placements and public offerings of equity securities, which have provided aggregate cash proceeds of approximately $278.6 million, excluding the February 2020 tender offer cash payment. We received $675 million in cash proceeds from the Janssen Transaction in the year ended December 31, 2019. In June 2021, we received the remaining $75 million in cash from the escrow receivable from the same transaction. In July 2021, we paid $75 million in dividends to shareholders. At June 30, 2026, we had cash and cash equivalents of $109.5 million as compared to cash and cash equivalents of $152.9 million at June 30, 2025. The following table summarizes our sources and uses of cash (in thousands):</w:t>
      </w:r>
    </w:p>
    <w:p>
      <w:pPr>
        <w:pStyle w:val="TextBody"/>
        <w:bidi w:val="0"/>
        <w:spacing w:before="0" w:after="0"/>
        <w:ind w:left="0" w:right="0" w:hanging="0"/>
        <w:jc w:val="left"/>
        <w:rPr>
          <w:caps w:val="false"/>
          <w:smallCaps w:val="false"/>
        </w:rPr>
      </w:pPr>
      <w:r>
        <w:rPr>
          <w:caps w:val="false"/>
          <w:smallCaps w:val="false"/>
        </w:rPr>
        <w:t> </w:t>
      </w:r>
    </w:p>
    <w:tbl>
      <w:tblPr>
        <w:tblW w:w="7347" w:type="dxa"/>
        <w:jc w:val="left"/>
        <w:tblInd w:w="0" w:type="dxa"/>
        <w:tblLayout w:type="fixed"/>
        <w:tblCellMar>
          <w:top w:w="0" w:type="dxa"/>
          <w:left w:w="0" w:type="dxa"/>
          <w:bottom w:w="0" w:type="dxa"/>
          <w:right w:w="0" w:type="dxa"/>
        </w:tblCellMar>
      </w:tblPr>
      <w:tblGrid>
        <w:gridCol w:w="4910"/>
        <w:gridCol w:w="60"/>
        <w:gridCol w:w="170"/>
        <w:gridCol w:w="884"/>
        <w:gridCol w:w="108"/>
        <w:gridCol w:w="81"/>
        <w:gridCol w:w="170"/>
        <w:gridCol w:w="884"/>
        <w:gridCol w:w="80"/>
      </w:tblGrid>
      <w:tr>
        <w:trPr/>
        <w:tc>
          <w:tcPr>
            <w:tcW w:w="49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97"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80" w:type="dxa"/>
            <w:tcBorders/>
            <w:vAlign w:val="center"/>
          </w:tcPr>
          <w:p>
            <w:pPr>
              <w:pStyle w:val="TableContents"/>
              <w:bidi w:val="0"/>
              <w:spacing w:before="0" w:after="283"/>
              <w:jc w:val="left"/>
              <w:rPr/>
            </w:pPr>
            <w:r>
              <w:rPr/>
              <w:t> </w:t>
            </w:r>
          </w:p>
        </w:tc>
      </w:tr>
      <w:tr>
        <w:trPr/>
        <w:tc>
          <w:tcPr>
            <w:tcW w:w="49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provided by:</w:t>
            </w:r>
          </w:p>
        </w:tc>
        <w:tc>
          <w:tcPr>
            <w:tcW w:w="60" w:type="dxa"/>
            <w:tcBorders/>
            <w:vAlign w:val="center"/>
          </w:tcPr>
          <w:p>
            <w:pPr>
              <w:pStyle w:val="TableContents"/>
              <w:bidi w:val="0"/>
              <w:spacing w:before="0" w:after="283"/>
              <w:ind w:left="0" w:right="0" w:hanging="0"/>
              <w:jc w:val="left"/>
              <w:rPr/>
            </w:pPr>
            <w:r>
              <w:rPr/>
              <w:t> </w:t>
            </w:r>
          </w:p>
        </w:tc>
        <w:tc>
          <w:tcPr>
            <w:tcW w:w="105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08" w:type="dxa"/>
            <w:tcBorders>
              <w:bottom w:val="single" w:sz="2" w:space="0" w:color="000000"/>
            </w:tcBorders>
            <w:tcMar>
              <w:bottom w:w="28" w:type="dxa"/>
            </w:tcMar>
            <w:vAlign w:val="center"/>
          </w:tcPr>
          <w:p>
            <w:pPr>
              <w:pStyle w:val="TableContents"/>
              <w:bidi w:val="0"/>
              <w:spacing w:before="0" w:after="283"/>
              <w:jc w:val="left"/>
              <w:rPr/>
            </w:pPr>
            <w:r>
              <w:rPr/>
              <w:t> </w:t>
            </w:r>
          </w:p>
        </w:tc>
        <w:tc>
          <w:tcPr>
            <w:tcW w:w="81"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05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activities</w:t>
            </w:r>
          </w:p>
        </w:tc>
        <w:tc>
          <w:tcPr>
            <w:tcW w:w="60" w:type="dxa"/>
            <w:tcBorders/>
            <w:shd w:fill="CCEEFF" w:val="clear"/>
            <w:vAlign w:val="center"/>
          </w:tcPr>
          <w:p>
            <w:pPr>
              <w:pStyle w:val="TableContents"/>
              <w:bidi w:val="0"/>
              <w:spacing w:before="0" w:after="283"/>
              <w:ind w:left="0" w:right="0" w:hanging="0"/>
              <w:jc w:val="left"/>
              <w:rPr/>
            </w:pPr>
            <w:r>
              <w:rPr/>
              <w:t> </w:t>
            </w:r>
          </w:p>
        </w:tc>
        <w:tc>
          <w:tcPr>
            <w:tcW w:w="17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(13,484</w:t>
            </w:r>
          </w:p>
        </w:tc>
        <w:tc>
          <w:tcPr>
            <w:tcW w:w="10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1" w:type="dxa"/>
            <w:tcBorders/>
            <w:shd w:fill="CCEEFF" w:val="clear"/>
            <w:vAlign w:val="center"/>
          </w:tcPr>
          <w:p>
            <w:pPr>
              <w:pStyle w:val="TableContents"/>
              <w:bidi w:val="0"/>
              <w:spacing w:before="0" w:after="283"/>
              <w:ind w:left="0" w:right="0" w:hanging="0"/>
              <w:jc w:val="left"/>
              <w:rPr/>
            </w:pPr>
            <w:r>
              <w:rPr/>
              <w:t> </w:t>
            </w:r>
          </w:p>
        </w:tc>
        <w:tc>
          <w:tcPr>
            <w:tcW w:w="17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(12,709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9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Investing activities</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10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9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Financing activities</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8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0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8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(10,250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9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 of foreign exchange rate on cash and cash equivalents</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(2,544</w:t>
            </w:r>
          </w:p>
        </w:tc>
        <w:tc>
          <w:tcPr>
            <w:tcW w:w="108"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3,365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change in 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(16,023</w:t>
            </w:r>
          </w:p>
        </w:tc>
        <w:tc>
          <w:tcPr>
            <w:tcW w:w="10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(19,739</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During the six months ended June 30, 2026 and 2025, our operating activities used net cash of $13.5 million and $12.7 million, respectively. The use of net cash in each of these periods primarily resulted from our net losses. The increase in net cash used in operations for the six months ended June 30, 2026 in comparison to the six months ended June, 2025 was mainly due to the $4.5 million payment for Mr. Simard’s 2025 annual bonus in January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During the six months ended June 30, 2026 and 2025, our investing activities provided net cash of $5 thousand and used net cash of $145 thousand, respectively. The use of cash was for fixed asset purchases and the preparation for the construction of a new facility. We received a refund from City of Austin related to the new facility’s permit during the six months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During the six months ended June 30, 2025, the net cash used in our financing activities was mainly related to the related party Convertible Loan. On January 3, 2024, we entered into a Convertible Loan Agreement (the “Loan”) with John Simard, the Company’s Founder, President, Chief Executive Officer and Chairman, who provided $10 million net cash for the construction of a new, state-of-the-art research and development facility at the Company's property at 5217 Winnebago Lane in Austin, Texas. On January 31, 2025, the Loan was terminated upon full repayment of the principal and interest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expect to continue to incur operating losses in the future. We do not expect to receive any additional revenue under the clinical manufacturing agreement with Janssen. Further, we may not receive any product revenue until a drug candidate has been approved by the FDA, EMA or similar regulatory agencies in other countries and successfully commercialized. As of June 30, 2026, our principal sources of liquidity were our cash and cash equivalents, which totaled approximately $109.5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Off-Balance Sheet Arrangements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Since inception, we have not engaged in any off-balance sheet activities, including the use of structured finance, special purpose entities or variable interest entities.</w:t>
      </w:r>
    </w:p>
    <w:p>
      <w:pPr>
        <w:pStyle w:val="TextBody"/>
        <w:bidi w:val="0"/>
        <w:spacing w:before="0" w:after="0"/>
        <w:ind w:left="0" w:right="0" w:hanging="0"/>
        <w:jc w:val="left"/>
        <w:rPr>
          <w:caps w:val="false"/>
          <w:smallCaps w:val="false"/>
        </w:rPr>
      </w:pPr>
      <w:r>
        <w:rPr>
          <w:caps w:val="false"/>
          <w:smallCaps w:val="false"/>
        </w:rPr>
        <w:t> </w:t>
      </w:r>
    </w:p>
    <w:tbl>
      <w:tblPr>
        <w:tblW w:w="5365" w:type="dxa"/>
        <w:jc w:val="left"/>
        <w:tblInd w:w="0" w:type="dxa"/>
        <w:tblLayout w:type="fixed"/>
        <w:tblCellMar>
          <w:top w:w="0" w:type="dxa"/>
          <w:left w:w="0" w:type="dxa"/>
          <w:bottom w:w="0" w:type="dxa"/>
          <w:right w:w="0" w:type="dxa"/>
        </w:tblCellMar>
      </w:tblPr>
      <w:tblGrid>
        <w:gridCol w:w="605"/>
        <w:gridCol w:w="4760"/>
      </w:tblGrid>
      <w:tr>
        <w:trPr/>
        <w:tc>
          <w:tcPr>
            <w:tcW w:w="60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Item</w:t>
            </w:r>
            <w:r>
              <w:rPr>
                <w:rFonts w:ascii="Times New Roman;Times;serif" w:hAnsi="Times New Roman;Times;serif"/>
                <w:caps w:val="false"/>
                <w:smallCaps w:val="false"/>
                <w:sz w:val="20"/>
              </w:rPr>
              <w:t> </w:t>
            </w:r>
            <w:r>
              <w:rPr>
                <w:rFonts w:ascii="Times New Roman;Times;serif" w:hAnsi="Times New Roman;Times;serif"/>
                <w:b/>
                <w:caps w:val="false"/>
                <w:smallCaps w:val="false"/>
                <w:sz w:val="20"/>
              </w:rPr>
              <w:t>3.</w:t>
            </w:r>
          </w:p>
        </w:tc>
        <w:tc>
          <w:tcPr>
            <w:tcW w:w="476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Quantitative and Qualitative Disclosure of Market Risks</w:t>
            </w:r>
            <w:bookmarkStart w:id="9" w:name="p1i3"/>
            <w:bookmarkEnd w:id="9"/>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Company is not currently exposed to material market risk arising from financial instruments, changes in interest rates or commodity prices, or fluctuations in foreign currencies. The Company has no need to hedge against any of the foregoing risks and therefore currently engages in no hedging activities.</w:t>
      </w:r>
    </w:p>
    <w:p>
      <w:pPr>
        <w:pStyle w:val="TextBody"/>
        <w:bidi w:val="0"/>
        <w:spacing w:before="0" w:after="0"/>
        <w:ind w:left="0" w:right="0" w:hanging="0"/>
        <w:jc w:val="left"/>
        <w:rPr>
          <w:caps w:val="false"/>
          <w:smallCaps w:val="false"/>
        </w:rPr>
      </w:pPr>
      <w:r>
        <w:rPr>
          <w:caps w:val="false"/>
          <w:smallCaps w:val="false"/>
        </w:rPr>
        <w:t> </w:t>
      </w:r>
    </w:p>
    <w:tbl>
      <w:tblPr>
        <w:tblW w:w="2725" w:type="dxa"/>
        <w:jc w:val="left"/>
        <w:tblInd w:w="0" w:type="dxa"/>
        <w:tblLayout w:type="fixed"/>
        <w:tblCellMar>
          <w:top w:w="0" w:type="dxa"/>
          <w:left w:w="0" w:type="dxa"/>
          <w:bottom w:w="0" w:type="dxa"/>
          <w:right w:w="0" w:type="dxa"/>
        </w:tblCellMar>
      </w:tblPr>
      <w:tblGrid>
        <w:gridCol w:w="605"/>
        <w:gridCol w:w="2120"/>
      </w:tblGrid>
      <w:tr>
        <w:trPr/>
        <w:tc>
          <w:tcPr>
            <w:tcW w:w="60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Item</w:t>
            </w:r>
            <w:r>
              <w:rPr>
                <w:rFonts w:ascii="Times New Roman;Times;serif" w:hAnsi="Times New Roman;Times;serif"/>
                <w:caps w:val="false"/>
                <w:smallCaps w:val="false"/>
                <w:sz w:val="20"/>
              </w:rPr>
              <w:t> </w:t>
            </w:r>
            <w:r>
              <w:rPr>
                <w:rFonts w:ascii="Times New Roman;Times;serif" w:hAnsi="Times New Roman;Times;serif"/>
                <w:b/>
                <w:caps w:val="false"/>
                <w:smallCaps w:val="false"/>
                <w:sz w:val="20"/>
              </w:rPr>
              <w:t>4.</w:t>
            </w:r>
          </w:p>
        </w:tc>
        <w:tc>
          <w:tcPr>
            <w:tcW w:w="212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Controls and Procedures</w:t>
            </w:r>
            <w:bookmarkStart w:id="10" w:name="p1i4"/>
            <w:bookmarkEnd w:id="10"/>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Management's Evaluation of our Disclosure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As of the end of the period covered by this Quarterly Report on Form 10-Q, an evaluation was carried out by the Company’s management, with the participation of the Chief Executive Officer and Principal Financial Officer, of the effectiveness of the Company’s disclosure controls and procedures, as defined in Rule 13a-15(e) and 15d-15(e) under the Securities Exchange Act of 1934. Based on such evaluation, the Chief Executive Officer and Principal Financial Officer concluded that the Company’s disclosure controls and procedures are effective to ensure that information required to be disclosed in the reports the Company files or furnishes under the Securities Exchange Act of 1934 is recorded, processed, summarized and reported within the time periods specified in the SEC’s rules and regulations, and are operating in an effective manner.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Management</w:t>
      </w:r>
      <w:r>
        <w:rPr>
          <w:rFonts w:ascii="Times New Roman" w:hAnsi="Times New Roman"/>
          <w:caps w:val="false"/>
          <w:smallCaps w:val="false"/>
          <w:sz w:val="20"/>
        </w:rPr>
        <w:t>’</w:t>
      </w:r>
      <w:r>
        <w:rPr>
          <w:rFonts w:ascii="Times New Roman" w:hAnsi="Times New Roman"/>
          <w:b/>
          <w:caps w:val="false"/>
          <w:smallCaps w:val="false"/>
          <w:sz w:val="20"/>
        </w:rPr>
        <w:t xml:space="preserve">s Annual Report on Internal Control over Financial Reporting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management is responsible for establishing and maintaining adequate internal control over the Company’s financial reporting (as defined in Rule 13a-15(f) under the Exchange Act). The Company’s management, with the participation of the Chief Executive Officer and Principal Financial Officer, conducted an assessment of the effectiveness of our internal control over financial reporting based on the criteria set forth in Internal Control – Integrated Framework issued by the Committee of Sponsoring Organizations of the Treadway Commission (2013 framework). Based on our management’s assessment, we have concluded that our internal control over financial reporting was effective as of June 30, 2026, to provide reasonable assurance regarding the reliability of financial reporting and the preparation of financial statements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Changes in Internal Control Over Financial Reporting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There was no change in our internal control over financial reporting that occurred during the quarter ended June 30, 2026 that has materially affected, or is reasonably likely to materially affect, our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Limitations on Effectiveness of Controls and Procedures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540"/>
        <w:jc w:val="center"/>
        <w:rPr>
          <w:rFonts w:ascii="Times New Roman" w:hAnsi="Times New Roman"/>
          <w:b/>
          <w:caps w:val="false"/>
          <w:smallCaps w:val="false"/>
          <w:sz w:val="20"/>
        </w:rPr>
      </w:pPr>
      <w:r>
        <w:rPr>
          <w:rFonts w:ascii="Times New Roman" w:hAnsi="Times New Roman"/>
          <w:b/>
          <w:caps w:val="false"/>
          <w:smallCaps w:val="false"/>
          <w:sz w:val="20"/>
        </w:rPr>
        <w:t>PART II - OTHER INFORMATION</w:t>
      </w:r>
    </w:p>
    <w:p>
      <w:pPr>
        <w:pStyle w:val="TextBody"/>
        <w:bidi w:val="0"/>
        <w:spacing w:before="0" w:after="0"/>
        <w:ind w:left="0" w:right="0" w:hanging="0"/>
        <w:jc w:val="left"/>
        <w:rPr>
          <w:caps w:val="false"/>
          <w:smallCaps w:val="false"/>
        </w:rPr>
      </w:pPr>
      <w:r>
        <w:rPr>
          <w:caps w:val="false"/>
          <w:smallCaps w:val="false"/>
        </w:rPr>
        <w:t> </w:t>
      </w:r>
    </w:p>
    <w:tbl>
      <w:tblPr>
        <w:tblW w:w="1690" w:type="dxa"/>
        <w:jc w:val="left"/>
        <w:tblInd w:w="0" w:type="dxa"/>
        <w:tblLayout w:type="fixed"/>
        <w:tblCellMar>
          <w:top w:w="0" w:type="dxa"/>
          <w:left w:w="0" w:type="dxa"/>
          <w:bottom w:w="0" w:type="dxa"/>
          <w:right w:w="0" w:type="dxa"/>
        </w:tblCellMar>
      </w:tblPr>
      <w:tblGrid>
        <w:gridCol w:w="605"/>
        <w:gridCol w:w="1085"/>
      </w:tblGrid>
      <w:tr>
        <w:trPr/>
        <w:tc>
          <w:tcPr>
            <w:tcW w:w="60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 1.</w:t>
            </w:r>
          </w:p>
        </w:tc>
        <w:tc>
          <w:tcPr>
            <w:tcW w:w="108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Risk Factors</w:t>
            </w:r>
            <w:bookmarkStart w:id="11" w:name="p2i1"/>
            <w:bookmarkEnd w:id="11"/>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There have been no material changes to the risk factors included in our Annual Report on Form 10-K for the year ended December 31, 2025. Please carefully consider the information set forth in this Quarterly Report on Form 10-Q and the risk factors discussed in Part I, “Item 1A. Risk Factors” in our Annual Report on Form 10-K for the year ended December 31, 2025, which could materially affect our business, financial condition or future results. The risks described in our Annual Report on Form 10-K, as well as other risks and uncertainties, could materially and adversely affect our business, results of operations and financial condition, which in turn could materially and adversely affect the trading price of shares of our Common Stock. Additional risks not currently known or currently material to us may also harm our business.</w:t>
      </w:r>
    </w:p>
    <w:p>
      <w:pPr>
        <w:pStyle w:val="TextBody"/>
        <w:bidi w:val="0"/>
        <w:spacing w:before="0" w:after="0"/>
        <w:ind w:left="0" w:right="0" w:hanging="0"/>
        <w:jc w:val="left"/>
        <w:rPr>
          <w:caps w:val="false"/>
          <w:smallCaps w:val="false"/>
        </w:rPr>
      </w:pPr>
      <w:r>
        <w:rPr>
          <w:caps w:val="false"/>
          <w:smallCaps w:val="false"/>
        </w:rPr>
        <w:t> </w:t>
      </w:r>
    </w:p>
    <w:tbl>
      <w:tblPr>
        <w:tblW w:w="5545" w:type="dxa"/>
        <w:jc w:val="left"/>
        <w:tblInd w:w="0" w:type="dxa"/>
        <w:tblLayout w:type="fixed"/>
        <w:tblCellMar>
          <w:top w:w="0" w:type="dxa"/>
          <w:left w:w="0" w:type="dxa"/>
          <w:bottom w:w="0" w:type="dxa"/>
          <w:right w:w="0" w:type="dxa"/>
        </w:tblCellMar>
      </w:tblPr>
      <w:tblGrid>
        <w:gridCol w:w="605"/>
        <w:gridCol w:w="4940"/>
      </w:tblGrid>
      <w:tr>
        <w:trPr/>
        <w:tc>
          <w:tcPr>
            <w:tcW w:w="60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 2.</w:t>
            </w:r>
          </w:p>
        </w:tc>
        <w:tc>
          <w:tcPr>
            <w:tcW w:w="494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Unregistered Sale of Equity Securities and Use of Proceeds</w:t>
            </w:r>
            <w:bookmarkStart w:id="12" w:name="p2i2"/>
            <w:bookmarkEnd w:id="12"/>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tbl>
      <w:tblPr>
        <w:tblW w:w="3250" w:type="dxa"/>
        <w:jc w:val="left"/>
        <w:tblInd w:w="0" w:type="dxa"/>
        <w:tblLayout w:type="fixed"/>
        <w:tblCellMar>
          <w:top w:w="0" w:type="dxa"/>
          <w:left w:w="0" w:type="dxa"/>
          <w:bottom w:w="0" w:type="dxa"/>
          <w:right w:w="0" w:type="dxa"/>
        </w:tblCellMar>
      </w:tblPr>
      <w:tblGrid>
        <w:gridCol w:w="605"/>
        <w:gridCol w:w="2645"/>
      </w:tblGrid>
      <w:tr>
        <w:trPr/>
        <w:tc>
          <w:tcPr>
            <w:tcW w:w="60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 3.</w:t>
            </w:r>
          </w:p>
        </w:tc>
        <w:tc>
          <w:tcPr>
            <w:tcW w:w="264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Defaults upon Senior Securities</w:t>
            </w:r>
            <w:bookmarkStart w:id="13" w:name="p2i3"/>
            <w:bookmarkEnd w:id="13"/>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tbl>
      <w:tblPr>
        <w:tblW w:w="2635" w:type="dxa"/>
        <w:jc w:val="left"/>
        <w:tblInd w:w="0" w:type="dxa"/>
        <w:tblLayout w:type="fixed"/>
        <w:tblCellMar>
          <w:top w:w="0" w:type="dxa"/>
          <w:left w:w="0" w:type="dxa"/>
          <w:bottom w:w="0" w:type="dxa"/>
          <w:right w:w="0" w:type="dxa"/>
        </w:tblCellMar>
      </w:tblPr>
      <w:tblGrid>
        <w:gridCol w:w="605"/>
        <w:gridCol w:w="2030"/>
      </w:tblGrid>
      <w:tr>
        <w:trPr/>
        <w:tc>
          <w:tcPr>
            <w:tcW w:w="60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 4.</w:t>
            </w:r>
          </w:p>
        </w:tc>
        <w:tc>
          <w:tcPr>
            <w:tcW w:w="203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Mine Safety Disclosures</w:t>
            </w:r>
            <w:bookmarkStart w:id="14" w:name="p2i4"/>
            <w:bookmarkEnd w:id="14"/>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2245" w:type="dxa"/>
        <w:jc w:val="left"/>
        <w:tblInd w:w="0" w:type="dxa"/>
        <w:tblLayout w:type="fixed"/>
        <w:tblCellMar>
          <w:top w:w="0" w:type="dxa"/>
          <w:left w:w="0" w:type="dxa"/>
          <w:bottom w:w="0" w:type="dxa"/>
          <w:right w:w="0" w:type="dxa"/>
        </w:tblCellMar>
      </w:tblPr>
      <w:tblGrid>
        <w:gridCol w:w="605"/>
        <w:gridCol w:w="1640"/>
      </w:tblGrid>
      <w:tr>
        <w:trPr/>
        <w:tc>
          <w:tcPr>
            <w:tcW w:w="60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 5.</w:t>
            </w:r>
          </w:p>
        </w:tc>
        <w:tc>
          <w:tcPr>
            <w:tcW w:w="164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Information.</w:t>
            </w:r>
            <w:bookmarkStart w:id="15" w:name="p2i5"/>
            <w:bookmarkEnd w:id="15"/>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375" w:type="dxa"/>
        <w:jc w:val="left"/>
        <w:tblInd w:w="0" w:type="dxa"/>
        <w:tblLayout w:type="fixed"/>
        <w:tblCellMar>
          <w:top w:w="0" w:type="dxa"/>
          <w:left w:w="0" w:type="dxa"/>
          <w:bottom w:w="0" w:type="dxa"/>
          <w:right w:w="0" w:type="dxa"/>
        </w:tblCellMar>
      </w:tblPr>
      <w:tblGrid>
        <w:gridCol w:w="605"/>
        <w:gridCol w:w="770"/>
      </w:tblGrid>
      <w:tr>
        <w:trPr/>
        <w:tc>
          <w:tcPr>
            <w:tcW w:w="60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 6.</w:t>
            </w:r>
          </w:p>
        </w:tc>
        <w:tc>
          <w:tcPr>
            <w:tcW w:w="77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Exhibits.</w:t>
            </w:r>
            <w:bookmarkStart w:id="16" w:name="p2i6"/>
            <w:bookmarkEnd w:id="16"/>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0"/>
        <w:gridCol w:w="9605"/>
      </w:tblGrid>
      <w:tr>
        <w:trPr/>
        <w:tc>
          <w:tcPr>
            <w:tcW w:w="600" w:type="dxa"/>
            <w:tcBorders/>
            <w:vAlign w:val="center"/>
          </w:tcPr>
          <w:p>
            <w:pPr>
              <w:pStyle w:val="TableContents"/>
              <w:bidi w:val="0"/>
              <w:spacing w:before="0" w:after="0"/>
              <w:ind w:left="0" w:right="0" w:hanging="0"/>
              <w:jc w:val="left"/>
              <w:rPr/>
            </w:pPr>
            <w:hyperlink w:anchor="ex_998583.htm">
              <w:r>
                <w:rPr>
                  <w:rStyle w:val="InternetLink"/>
                  <w:rFonts w:ascii="Times New Roman" w:hAnsi="Times New Roman"/>
                  <w:caps w:val="false"/>
                  <w:smallCaps w:val="false"/>
                  <w:sz w:val="20"/>
                </w:rPr>
                <w:t>31.1</w:t>
              </w:r>
            </w:hyperlink>
          </w:p>
        </w:tc>
        <w:tc>
          <w:tcPr>
            <w:tcW w:w="9605" w:type="dxa"/>
            <w:tcBorders/>
            <w:vAlign w:val="center"/>
          </w:tcPr>
          <w:p>
            <w:pPr>
              <w:pStyle w:val="TableContents"/>
              <w:bidi w:val="0"/>
              <w:spacing w:before="0" w:after="0"/>
              <w:ind w:left="0" w:right="0" w:firstLine="360"/>
              <w:jc w:val="left"/>
              <w:rPr/>
            </w:pPr>
            <w:hyperlink w:anchor="ex_998583.htm">
              <w:r>
                <w:rPr>
                  <w:rStyle w:val="InternetLink"/>
                  <w:rFonts w:ascii="Times New Roman" w:hAnsi="Times New Roman"/>
                  <w:caps w:val="false"/>
                  <w:smallCaps w:val="false"/>
                  <w:sz w:val="20"/>
                </w:rPr>
                <w:t>Certification of Principal Executive Officer Required Under Rule 13a-14(a) and 15d-14(a) of the Securities Exchange Act of 1934, as amended.</w:t>
              </w:r>
            </w:hyperlink>
          </w:p>
        </w:tc>
      </w:tr>
      <w:tr>
        <w:trPr/>
        <w:tc>
          <w:tcPr>
            <w:tcW w:w="600" w:type="dxa"/>
            <w:tcBorders/>
            <w:vAlign w:val="center"/>
          </w:tcPr>
          <w:p>
            <w:pPr>
              <w:pStyle w:val="TableContents"/>
              <w:bidi w:val="0"/>
              <w:spacing w:before="0" w:after="0"/>
              <w:ind w:left="0" w:right="0" w:firstLine="540"/>
              <w:jc w:val="left"/>
              <w:rPr>
                <w:caps w:val="false"/>
                <w:smallCaps w:val="false"/>
              </w:rPr>
            </w:pPr>
            <w:r>
              <w:rPr>
                <w:caps w:val="false"/>
                <w:smallCaps w:val="false"/>
              </w:rPr>
              <w:t> </w:t>
            </w:r>
          </w:p>
        </w:tc>
        <w:tc>
          <w:tcPr>
            <w:tcW w:w="9605" w:type="dxa"/>
            <w:tcBorders/>
            <w:vAlign w:val="center"/>
          </w:tcPr>
          <w:p>
            <w:pPr>
              <w:pStyle w:val="TableContents"/>
              <w:bidi w:val="0"/>
              <w:spacing w:before="0" w:after="0"/>
              <w:ind w:left="0" w:right="0" w:firstLine="540"/>
              <w:jc w:val="left"/>
              <w:rPr>
                <w:caps w:val="false"/>
                <w:smallCaps w:val="false"/>
              </w:rPr>
            </w:pPr>
            <w:r>
              <w:rPr>
                <w:caps w:val="false"/>
                <w:smallCaps w:val="false"/>
              </w:rPr>
              <w:t> </w:t>
            </w:r>
          </w:p>
        </w:tc>
      </w:tr>
      <w:tr>
        <w:trPr/>
        <w:tc>
          <w:tcPr>
            <w:tcW w:w="600" w:type="dxa"/>
            <w:tcBorders/>
            <w:vAlign w:val="center"/>
          </w:tcPr>
          <w:p>
            <w:pPr>
              <w:pStyle w:val="TableContents"/>
              <w:bidi w:val="0"/>
              <w:spacing w:before="0" w:after="0"/>
              <w:ind w:left="0" w:right="0" w:hanging="0"/>
              <w:jc w:val="left"/>
              <w:rPr/>
            </w:pPr>
            <w:hyperlink w:anchor="ex_998584.htm">
              <w:r>
                <w:rPr>
                  <w:rStyle w:val="InternetLink"/>
                  <w:rFonts w:ascii="Times New Roman" w:hAnsi="Times New Roman"/>
                  <w:caps w:val="false"/>
                  <w:smallCaps w:val="false"/>
                  <w:sz w:val="20"/>
                </w:rPr>
                <w:t>31.2</w:t>
              </w:r>
            </w:hyperlink>
          </w:p>
        </w:tc>
        <w:tc>
          <w:tcPr>
            <w:tcW w:w="9605" w:type="dxa"/>
            <w:tcBorders/>
            <w:vAlign w:val="center"/>
          </w:tcPr>
          <w:p>
            <w:pPr>
              <w:pStyle w:val="TableContents"/>
              <w:bidi w:val="0"/>
              <w:spacing w:before="0" w:after="0"/>
              <w:ind w:left="0" w:right="0" w:firstLine="360"/>
              <w:jc w:val="left"/>
              <w:rPr/>
            </w:pPr>
            <w:hyperlink w:anchor="ex_998584.htm">
              <w:r>
                <w:rPr>
                  <w:rStyle w:val="InternetLink"/>
                  <w:rFonts w:ascii="Times New Roman" w:hAnsi="Times New Roman"/>
                  <w:caps w:val="false"/>
                  <w:smallCaps w:val="false"/>
                  <w:sz w:val="20"/>
                </w:rPr>
                <w:t>Certification of Principal Financial Officer Required Under Rule 13a-14(a) and 15d-14(a) of the Securities Exchange Act of 1934, as amended.</w:t>
              </w:r>
            </w:hyperlink>
          </w:p>
        </w:tc>
      </w:tr>
      <w:tr>
        <w:trPr/>
        <w:tc>
          <w:tcPr>
            <w:tcW w:w="600" w:type="dxa"/>
            <w:tcBorders/>
            <w:vAlign w:val="center"/>
          </w:tcPr>
          <w:p>
            <w:pPr>
              <w:pStyle w:val="TableContents"/>
              <w:bidi w:val="0"/>
              <w:spacing w:before="0" w:after="0"/>
              <w:ind w:left="0" w:right="0" w:firstLine="540"/>
              <w:jc w:val="left"/>
              <w:rPr>
                <w:caps w:val="false"/>
                <w:smallCaps w:val="false"/>
              </w:rPr>
            </w:pPr>
            <w:r>
              <w:rPr>
                <w:caps w:val="false"/>
                <w:smallCaps w:val="false"/>
              </w:rPr>
              <w:t> </w:t>
            </w:r>
          </w:p>
        </w:tc>
        <w:tc>
          <w:tcPr>
            <w:tcW w:w="9605" w:type="dxa"/>
            <w:tcBorders/>
            <w:vAlign w:val="center"/>
          </w:tcPr>
          <w:p>
            <w:pPr>
              <w:pStyle w:val="TableContents"/>
              <w:bidi w:val="0"/>
              <w:spacing w:before="0" w:after="0"/>
              <w:ind w:left="0" w:right="0" w:firstLine="540"/>
              <w:jc w:val="left"/>
              <w:rPr>
                <w:caps w:val="false"/>
                <w:smallCaps w:val="false"/>
              </w:rPr>
            </w:pPr>
            <w:r>
              <w:rPr>
                <w:caps w:val="false"/>
                <w:smallCaps w:val="false"/>
              </w:rPr>
              <w:t> </w:t>
            </w:r>
          </w:p>
        </w:tc>
      </w:tr>
      <w:tr>
        <w:trPr/>
        <w:tc>
          <w:tcPr>
            <w:tcW w:w="600" w:type="dxa"/>
            <w:tcBorders/>
            <w:vAlign w:val="center"/>
          </w:tcPr>
          <w:p>
            <w:pPr>
              <w:pStyle w:val="TableContents"/>
              <w:bidi w:val="0"/>
              <w:spacing w:before="0" w:after="0"/>
              <w:ind w:left="0" w:right="0" w:hanging="0"/>
              <w:jc w:val="left"/>
              <w:rPr/>
            </w:pPr>
            <w:hyperlink w:anchor="ex_998585.htm">
              <w:r>
                <w:rPr>
                  <w:rStyle w:val="InternetLink"/>
                  <w:rFonts w:ascii="Times New Roman" w:hAnsi="Times New Roman"/>
                  <w:caps w:val="false"/>
                  <w:smallCaps w:val="false"/>
                  <w:sz w:val="20"/>
                </w:rPr>
                <w:t>32.1</w:t>
              </w:r>
            </w:hyperlink>
          </w:p>
        </w:tc>
        <w:tc>
          <w:tcPr>
            <w:tcW w:w="9605" w:type="dxa"/>
            <w:tcBorders/>
            <w:vAlign w:val="center"/>
          </w:tcPr>
          <w:p>
            <w:pPr>
              <w:pStyle w:val="TableContents"/>
              <w:bidi w:val="0"/>
              <w:spacing w:before="0" w:after="0"/>
              <w:ind w:left="0" w:right="0" w:firstLine="360"/>
              <w:jc w:val="left"/>
              <w:rPr/>
            </w:pPr>
            <w:hyperlink w:anchor="ex_998585.htm">
              <w:r>
                <w:rPr>
                  <w:rStyle w:val="InternetLink"/>
                  <w:rFonts w:ascii="Times New Roman" w:hAnsi="Times New Roman"/>
                  <w:caps w:val="false"/>
                  <w:smallCaps w:val="false"/>
                  <w:sz w:val="20"/>
                </w:rPr>
                <w:t>Certification of Principal Executive Officer and Principal Financial Officer Required Under Rule 13a-14(b) of the Securities Exchange Act of 1934, as amended, and 18 U.S.C. §1350.</w:t>
              </w:r>
            </w:hyperlink>
          </w:p>
        </w:tc>
      </w:tr>
      <w:tr>
        <w:trPr/>
        <w:tc>
          <w:tcPr>
            <w:tcW w:w="600" w:type="dxa"/>
            <w:tcBorders/>
            <w:vAlign w:val="center"/>
          </w:tcPr>
          <w:p>
            <w:pPr>
              <w:pStyle w:val="TableContents"/>
              <w:bidi w:val="0"/>
              <w:spacing w:before="0" w:after="283"/>
              <w:jc w:val="left"/>
              <w:rPr/>
            </w:pPr>
            <w:r>
              <w:rPr/>
              <w:t> </w:t>
            </w:r>
          </w:p>
        </w:tc>
        <w:tc>
          <w:tcPr>
            <w:tcW w:w="9605" w:type="dxa"/>
            <w:tcBorders/>
            <w:vAlign w:val="center"/>
          </w:tcPr>
          <w:p>
            <w:pPr>
              <w:pStyle w:val="TableContents"/>
              <w:bidi w:val="0"/>
              <w:spacing w:before="0" w:after="283"/>
              <w:jc w:val="left"/>
              <w:rPr/>
            </w:pPr>
            <w:r>
              <w:rPr/>
              <w:t> </w:t>
            </w:r>
          </w:p>
        </w:tc>
      </w:tr>
      <w:tr>
        <w:trPr/>
        <w:tc>
          <w:tcPr>
            <w:tcW w:w="6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w:t>
            </w:r>
          </w:p>
        </w:tc>
        <w:tc>
          <w:tcPr>
            <w:tcW w:w="9605" w:type="dxa"/>
            <w:tcBorders/>
            <w:vAlign w:val="center"/>
          </w:tcPr>
          <w:p>
            <w:pPr>
              <w:pStyle w:val="TableContents"/>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following financial statements from the XBiotech Inc. Quarterly Report on Form 10-Q for the quarter ended June 30, 2026, formatted in Inline Extensive Business Reporting Language (XBRL): (i) condensed consolidated balance sheets at June 30, 2026 and December 31, 2025, (ii) condensed consolidated statements of operations for the three and six months ended June 30, 2026 and 2025, (iii) condensed consolidated statements of shareholders’ equity for the three and six months ended June 30, 2026 and 2025; (iv) condensed consolidated statements of cash flows for the six months ended June 30, 2026 and 2025 and (v) notes to condensed consolidated financial statements (detail tagged).</w:t>
            </w:r>
          </w:p>
        </w:tc>
      </w:tr>
      <w:tr>
        <w:trPr/>
        <w:tc>
          <w:tcPr>
            <w:tcW w:w="600" w:type="dxa"/>
            <w:tcBorders/>
            <w:vAlign w:val="center"/>
          </w:tcPr>
          <w:p>
            <w:pPr>
              <w:pStyle w:val="TableContents"/>
              <w:bidi w:val="0"/>
              <w:spacing w:before="0" w:after="283"/>
              <w:jc w:val="left"/>
              <w:rPr/>
            </w:pPr>
            <w:r>
              <w:rPr/>
              <w:t> </w:t>
            </w:r>
          </w:p>
        </w:tc>
        <w:tc>
          <w:tcPr>
            <w:tcW w:w="9605" w:type="dxa"/>
            <w:tcBorders/>
            <w:vAlign w:val="center"/>
          </w:tcPr>
          <w:p>
            <w:pPr>
              <w:pStyle w:val="TableContents"/>
              <w:bidi w:val="0"/>
              <w:spacing w:before="0" w:after="283"/>
              <w:jc w:val="left"/>
              <w:rPr/>
            </w:pPr>
            <w:r>
              <w:rPr/>
              <w:t> </w:t>
            </w:r>
          </w:p>
        </w:tc>
      </w:tr>
      <w:tr>
        <w:trPr/>
        <w:tc>
          <w:tcPr>
            <w:tcW w:w="6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104</w:t>
            </w:r>
          </w:p>
        </w:tc>
        <w:tc>
          <w:tcPr>
            <w:tcW w:w="9605" w:type="dxa"/>
            <w:tcBorders/>
            <w:vAlign w:val="center"/>
          </w:tcPr>
          <w:p>
            <w:pPr>
              <w:pStyle w:val="TableContents"/>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Cover Page Interactive Data File (embedded within the iXBRL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SIGNATURES</w:t>
      </w:r>
      <w:bookmarkStart w:id="17" w:name="SIGNATURES"/>
      <w:bookmarkEnd w:id="17"/>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58"/>
        <w:gridCol w:w="600"/>
        <w:gridCol w:w="1358"/>
        <w:gridCol w:w="600"/>
        <w:gridCol w:w="5289"/>
      </w:tblGrid>
      <w:tr>
        <w:trPr/>
        <w:tc>
          <w:tcPr>
            <w:tcW w:w="2358" w:type="dxa"/>
            <w:tcBorders/>
            <w:vAlign w:val="center"/>
          </w:tcPr>
          <w:p>
            <w:pPr>
              <w:pStyle w:val="TableContents"/>
              <w:bidi w:val="0"/>
              <w:spacing w:before="0" w:after="0"/>
              <w:ind w:left="0" w:right="0" w:firstLine="540"/>
              <w:jc w:val="left"/>
              <w:rPr>
                <w:caps w:val="false"/>
                <w:smallCaps w:val="false"/>
              </w:rPr>
            </w:pPr>
            <w:r>
              <w:rPr>
                <w:caps w:val="false"/>
                <w:smallCaps w:val="false"/>
              </w:rPr>
              <w:t> </w:t>
            </w:r>
          </w:p>
        </w:tc>
        <w:tc>
          <w:tcPr>
            <w:tcW w:w="600" w:type="dxa"/>
            <w:tcBorders/>
            <w:vAlign w:val="center"/>
          </w:tcPr>
          <w:p>
            <w:pPr>
              <w:pStyle w:val="TableContents"/>
              <w:bidi w:val="0"/>
              <w:spacing w:before="0" w:after="0"/>
              <w:ind w:left="0" w:right="0" w:firstLine="540"/>
              <w:jc w:val="left"/>
              <w:rPr>
                <w:caps w:val="false"/>
                <w:smallCaps w:val="false"/>
              </w:rPr>
            </w:pPr>
            <w:r>
              <w:rPr>
                <w:caps w:val="false"/>
                <w:smallCaps w:val="false"/>
              </w:rPr>
              <w:t> </w:t>
            </w:r>
          </w:p>
        </w:tc>
        <w:tc>
          <w:tcPr>
            <w:tcW w:w="1358" w:type="dxa"/>
            <w:tcBorders/>
            <w:vAlign w:val="center"/>
          </w:tcPr>
          <w:p>
            <w:pPr>
              <w:pStyle w:val="TableContents"/>
              <w:bidi w:val="0"/>
              <w:spacing w:before="0" w:after="0"/>
              <w:ind w:left="0" w:right="0" w:firstLine="540"/>
              <w:jc w:val="left"/>
              <w:rPr>
                <w:caps w:val="false"/>
                <w:smallCaps w:val="false"/>
              </w:rPr>
            </w:pPr>
            <w:r>
              <w:rPr>
                <w:caps w:val="false"/>
                <w:smallCaps w:val="false"/>
              </w:rPr>
              <w:t> </w:t>
            </w:r>
          </w:p>
        </w:tc>
        <w:tc>
          <w:tcPr>
            <w:tcW w:w="600" w:type="dxa"/>
            <w:tcBorders/>
            <w:vAlign w:val="center"/>
          </w:tcPr>
          <w:p>
            <w:pPr>
              <w:pStyle w:val="TableContents"/>
              <w:bidi w:val="0"/>
              <w:spacing w:before="0" w:after="0"/>
              <w:ind w:left="0" w:right="0" w:firstLine="540"/>
              <w:jc w:val="left"/>
              <w:rPr>
                <w:caps w:val="false"/>
                <w:smallCaps w:val="false"/>
              </w:rPr>
            </w:pPr>
            <w:r>
              <w:rPr>
                <w:caps w:val="false"/>
                <w:smallCaps w:val="false"/>
              </w:rPr>
              <w:t> </w:t>
            </w:r>
          </w:p>
        </w:tc>
        <w:tc>
          <w:tcPr>
            <w:tcW w:w="5289" w:type="dxa"/>
            <w:tcBorders/>
            <w:vAlign w:val="center"/>
          </w:tcPr>
          <w:p>
            <w:pPr>
              <w:pStyle w:val="TableContents"/>
              <w:bidi w:val="0"/>
              <w:spacing w:before="0" w:after="0"/>
              <w:ind w:left="0" w:right="0" w:firstLine="540"/>
              <w:jc w:val="left"/>
              <w:rPr>
                <w:caps w:val="false"/>
                <w:smallCaps w:val="false"/>
              </w:rPr>
            </w:pPr>
            <w:r>
              <w:rPr>
                <w:caps w:val="false"/>
                <w:smallCaps w:val="false"/>
              </w:rPr>
              <w:t> </w:t>
            </w:r>
          </w:p>
        </w:tc>
      </w:tr>
      <w:tr>
        <w:trPr/>
        <w:tc>
          <w:tcPr>
            <w:tcW w:w="2358" w:type="dxa"/>
            <w:tcBorders/>
            <w:vAlign w:val="center"/>
          </w:tcPr>
          <w:p>
            <w:pPr>
              <w:pStyle w:val="TableContents"/>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Date: August 13, 2026</w:t>
            </w:r>
          </w:p>
        </w:tc>
        <w:tc>
          <w:tcPr>
            <w:tcW w:w="600" w:type="dxa"/>
            <w:tcBorders/>
            <w:vAlign w:val="center"/>
          </w:tcPr>
          <w:p>
            <w:pPr>
              <w:pStyle w:val="TableContents"/>
              <w:bidi w:val="0"/>
              <w:spacing w:before="0" w:after="0"/>
              <w:ind w:left="0" w:right="0" w:firstLine="540"/>
              <w:jc w:val="left"/>
              <w:rPr>
                <w:caps w:val="false"/>
                <w:smallCaps w:val="false"/>
              </w:rPr>
            </w:pPr>
            <w:r>
              <w:rPr>
                <w:caps w:val="false"/>
                <w:smallCaps w:val="false"/>
              </w:rPr>
              <w:t> </w:t>
            </w:r>
          </w:p>
        </w:tc>
        <w:tc>
          <w:tcPr>
            <w:tcW w:w="7247" w:type="dxa"/>
            <w:gridSpan w:val="3"/>
            <w:tcBorders/>
            <w:vAlign w:val="center"/>
          </w:tcPr>
          <w:p>
            <w:pPr>
              <w:pStyle w:val="TableContents"/>
              <w:bidi w:val="0"/>
              <w:spacing w:before="0" w:after="0"/>
              <w:ind w:left="0" w:right="0" w:firstLine="540"/>
              <w:jc w:val="left"/>
              <w:rPr>
                <w:rFonts w:ascii="Times New Roman" w:hAnsi="Times New Roman"/>
                <w:b/>
                <w:caps w:val="false"/>
                <w:smallCaps w:val="false"/>
                <w:sz w:val="20"/>
              </w:rPr>
            </w:pPr>
            <w:r>
              <w:rPr>
                <w:rFonts w:ascii="Times New Roman" w:hAnsi="Times New Roman"/>
                <w:b/>
                <w:caps w:val="false"/>
                <w:smallCaps w:val="false"/>
                <w:sz w:val="20"/>
              </w:rPr>
              <w:t>XBIOTECH INC.</w:t>
            </w:r>
          </w:p>
        </w:tc>
      </w:tr>
      <w:tr>
        <w:trPr/>
        <w:tc>
          <w:tcPr>
            <w:tcW w:w="2358" w:type="dxa"/>
            <w:tcBorders/>
            <w:vAlign w:val="center"/>
          </w:tcPr>
          <w:p>
            <w:pPr>
              <w:pStyle w:val="TableContents"/>
              <w:bidi w:val="0"/>
              <w:spacing w:before="0" w:after="0"/>
              <w:ind w:left="0" w:right="0" w:firstLine="540"/>
              <w:jc w:val="left"/>
              <w:rPr>
                <w:caps w:val="false"/>
                <w:smallCaps w:val="false"/>
              </w:rPr>
            </w:pPr>
            <w:r>
              <w:rPr>
                <w:caps w:val="false"/>
                <w:smallCaps w:val="false"/>
              </w:rPr>
              <w:t> </w:t>
            </w:r>
          </w:p>
        </w:tc>
        <w:tc>
          <w:tcPr>
            <w:tcW w:w="600" w:type="dxa"/>
            <w:tcBorders/>
            <w:vAlign w:val="center"/>
          </w:tcPr>
          <w:p>
            <w:pPr>
              <w:pStyle w:val="TableContents"/>
              <w:bidi w:val="0"/>
              <w:spacing w:before="0" w:after="0"/>
              <w:ind w:left="0" w:right="0" w:firstLine="540"/>
              <w:jc w:val="left"/>
              <w:rPr>
                <w:caps w:val="false"/>
                <w:smallCaps w:val="false"/>
              </w:rPr>
            </w:pPr>
            <w:r>
              <w:rPr>
                <w:caps w:val="false"/>
                <w:smallCaps w:val="false"/>
              </w:rPr>
              <w:t> </w:t>
            </w:r>
          </w:p>
        </w:tc>
        <w:tc>
          <w:tcPr>
            <w:tcW w:w="1358" w:type="dxa"/>
            <w:tcBorders/>
            <w:vAlign w:val="center"/>
          </w:tcPr>
          <w:p>
            <w:pPr>
              <w:pStyle w:val="TableContents"/>
              <w:bidi w:val="0"/>
              <w:spacing w:before="0" w:after="0"/>
              <w:ind w:left="0" w:right="0" w:firstLine="540"/>
              <w:jc w:val="left"/>
              <w:rPr>
                <w:caps w:val="false"/>
                <w:smallCaps w:val="false"/>
              </w:rPr>
            </w:pPr>
            <w:r>
              <w:rPr>
                <w:caps w:val="false"/>
                <w:smallCaps w:val="false"/>
              </w:rPr>
              <w:t> </w:t>
            </w:r>
          </w:p>
        </w:tc>
        <w:tc>
          <w:tcPr>
            <w:tcW w:w="5889" w:type="dxa"/>
            <w:gridSpan w:val="2"/>
            <w:tcBorders/>
            <w:vAlign w:val="center"/>
          </w:tcPr>
          <w:p>
            <w:pPr>
              <w:pStyle w:val="TableContents"/>
              <w:bidi w:val="0"/>
              <w:spacing w:before="0" w:after="0"/>
              <w:ind w:left="0" w:right="0" w:firstLine="540"/>
              <w:jc w:val="left"/>
              <w:rPr>
                <w:caps w:val="false"/>
                <w:smallCaps w:val="false"/>
              </w:rPr>
            </w:pPr>
            <w:r>
              <w:rPr>
                <w:caps w:val="false"/>
                <w:smallCaps w:val="false"/>
              </w:rPr>
              <w:t> </w:t>
            </w:r>
          </w:p>
        </w:tc>
      </w:tr>
      <w:tr>
        <w:trPr/>
        <w:tc>
          <w:tcPr>
            <w:tcW w:w="2358" w:type="dxa"/>
            <w:tcBorders/>
            <w:vAlign w:val="center"/>
          </w:tcPr>
          <w:p>
            <w:pPr>
              <w:pStyle w:val="TableContents"/>
              <w:bidi w:val="0"/>
              <w:spacing w:before="0" w:after="283"/>
              <w:jc w:val="left"/>
              <w:rPr/>
            </w:pPr>
            <w:r>
              <w:rPr/>
              <w:t> </w:t>
            </w:r>
          </w:p>
        </w:tc>
        <w:tc>
          <w:tcPr>
            <w:tcW w:w="600" w:type="dxa"/>
            <w:tcBorders/>
            <w:vAlign w:val="center"/>
          </w:tcPr>
          <w:p>
            <w:pPr>
              <w:pStyle w:val="TableContents"/>
              <w:bidi w:val="0"/>
              <w:spacing w:before="0" w:after="283"/>
              <w:jc w:val="left"/>
              <w:rPr/>
            </w:pPr>
            <w:r>
              <w:rPr/>
              <w:t> </w:t>
            </w:r>
          </w:p>
        </w:tc>
        <w:tc>
          <w:tcPr>
            <w:tcW w:w="1358" w:type="dxa"/>
            <w:tcBorders/>
            <w:vAlign w:val="center"/>
          </w:tcPr>
          <w:p>
            <w:pPr>
              <w:pStyle w:val="TableContents"/>
              <w:bidi w:val="0"/>
              <w:spacing w:before="0" w:after="0"/>
              <w:ind w:left="0" w:right="0" w:firstLine="1040"/>
              <w:jc w:val="left"/>
              <w:rPr>
                <w:rFonts w:ascii="Times New Roman" w:hAnsi="Times New Roman"/>
                <w:caps w:val="false"/>
                <w:smallCaps w:val="false"/>
                <w:sz w:val="20"/>
              </w:rPr>
            </w:pPr>
            <w:r>
              <w:rPr>
                <w:rFonts w:ascii="Times New Roman" w:hAnsi="Times New Roman"/>
                <w:caps w:val="false"/>
                <w:smallCaps w:val="false"/>
                <w:sz w:val="20"/>
              </w:rPr>
              <w:t>By:</w:t>
            </w:r>
          </w:p>
        </w:tc>
        <w:tc>
          <w:tcPr>
            <w:tcW w:w="600" w:type="dxa"/>
            <w:tcBorders/>
            <w:vAlign w:val="center"/>
          </w:tcPr>
          <w:p>
            <w:pPr>
              <w:pStyle w:val="TableContents"/>
              <w:bidi w:val="0"/>
              <w:spacing w:before="0" w:after="0"/>
              <w:ind w:left="0" w:right="0" w:firstLine="540"/>
              <w:jc w:val="left"/>
              <w:rPr>
                <w:caps w:val="false"/>
                <w:smallCaps w:val="false"/>
              </w:rPr>
            </w:pPr>
            <w:r>
              <w:rPr>
                <w:caps w:val="false"/>
                <w:smallCaps w:val="false"/>
              </w:rPr>
              <w:t> </w:t>
            </w:r>
          </w:p>
        </w:tc>
        <w:tc>
          <w:tcPr>
            <w:tcW w:w="5289" w:type="dxa"/>
            <w:tcBorders>
              <w:bottom w:val="single" w:sz="2" w:space="0" w:color="000000"/>
            </w:tcBorders>
            <w:tcMar>
              <w:bottom w:w="28" w:type="dxa"/>
            </w:tcMar>
            <w:vAlign w:val="center"/>
          </w:tcPr>
          <w:p>
            <w:pPr>
              <w:pStyle w:val="TableContents"/>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/S/ Sushma Shivaswamy</w:t>
            </w:r>
          </w:p>
        </w:tc>
      </w:tr>
      <w:tr>
        <w:trPr/>
        <w:tc>
          <w:tcPr>
            <w:tcW w:w="2358" w:type="dxa"/>
            <w:tcBorders/>
            <w:vAlign w:val="center"/>
          </w:tcPr>
          <w:p>
            <w:pPr>
              <w:pStyle w:val="TableContents"/>
              <w:bidi w:val="0"/>
              <w:spacing w:before="0" w:after="0"/>
              <w:ind w:left="0" w:right="0" w:firstLine="540"/>
              <w:jc w:val="left"/>
              <w:rPr>
                <w:caps w:val="false"/>
                <w:smallCaps w:val="false"/>
              </w:rPr>
            </w:pPr>
            <w:r>
              <w:rPr>
                <w:caps w:val="false"/>
                <w:smallCaps w:val="false"/>
              </w:rPr>
              <w:t> </w:t>
            </w:r>
          </w:p>
        </w:tc>
        <w:tc>
          <w:tcPr>
            <w:tcW w:w="600" w:type="dxa"/>
            <w:tcBorders/>
            <w:vAlign w:val="center"/>
          </w:tcPr>
          <w:p>
            <w:pPr>
              <w:pStyle w:val="TableContents"/>
              <w:bidi w:val="0"/>
              <w:spacing w:before="0" w:after="0"/>
              <w:ind w:left="0" w:right="0" w:firstLine="540"/>
              <w:jc w:val="left"/>
              <w:rPr>
                <w:caps w:val="false"/>
                <w:smallCaps w:val="false"/>
              </w:rPr>
            </w:pPr>
            <w:r>
              <w:rPr>
                <w:caps w:val="false"/>
                <w:smallCaps w:val="false"/>
              </w:rPr>
              <w:t> </w:t>
            </w:r>
          </w:p>
        </w:tc>
        <w:tc>
          <w:tcPr>
            <w:tcW w:w="1358" w:type="dxa"/>
            <w:tcBorders/>
            <w:vAlign w:val="center"/>
          </w:tcPr>
          <w:p>
            <w:pPr>
              <w:pStyle w:val="TableContents"/>
              <w:bidi w:val="0"/>
              <w:spacing w:before="0" w:after="0"/>
              <w:ind w:left="0" w:right="0" w:firstLine="540"/>
              <w:jc w:val="left"/>
              <w:rPr>
                <w:caps w:val="false"/>
                <w:smallCaps w:val="false"/>
              </w:rPr>
            </w:pPr>
            <w:r>
              <w:rPr>
                <w:caps w:val="false"/>
                <w:smallCaps w:val="false"/>
              </w:rPr>
              <w:t> </w:t>
            </w:r>
          </w:p>
        </w:tc>
        <w:tc>
          <w:tcPr>
            <w:tcW w:w="600" w:type="dxa"/>
            <w:tcBorders/>
            <w:vAlign w:val="center"/>
          </w:tcPr>
          <w:p>
            <w:pPr>
              <w:pStyle w:val="TableContents"/>
              <w:bidi w:val="0"/>
              <w:spacing w:before="0" w:after="0"/>
              <w:ind w:left="0" w:right="0" w:firstLine="540"/>
              <w:jc w:val="left"/>
              <w:rPr>
                <w:caps w:val="false"/>
                <w:smallCaps w:val="false"/>
              </w:rPr>
            </w:pPr>
            <w:r>
              <w:rPr>
                <w:caps w:val="false"/>
                <w:smallCaps w:val="false"/>
              </w:rPr>
              <w:t> </w:t>
            </w:r>
          </w:p>
        </w:tc>
        <w:tc>
          <w:tcPr>
            <w:tcW w:w="5289" w:type="dxa"/>
            <w:tcBorders/>
            <w:vAlign w:val="center"/>
          </w:tcPr>
          <w:p>
            <w:pPr>
              <w:pStyle w:val="TableContents"/>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Sushma Shivaswamy</w:t>
            </w:r>
          </w:p>
        </w:tc>
      </w:tr>
      <w:tr>
        <w:trPr/>
        <w:tc>
          <w:tcPr>
            <w:tcW w:w="2358" w:type="dxa"/>
            <w:tcBorders/>
            <w:vAlign w:val="center"/>
          </w:tcPr>
          <w:p>
            <w:pPr>
              <w:pStyle w:val="TableContents"/>
              <w:bidi w:val="0"/>
              <w:spacing w:before="0" w:after="0"/>
              <w:ind w:left="0" w:right="0" w:firstLine="540"/>
              <w:jc w:val="left"/>
              <w:rPr>
                <w:caps w:val="false"/>
                <w:smallCaps w:val="false"/>
              </w:rPr>
            </w:pPr>
            <w:r>
              <w:rPr>
                <w:caps w:val="false"/>
                <w:smallCaps w:val="false"/>
              </w:rPr>
              <w:t> </w:t>
            </w:r>
          </w:p>
        </w:tc>
        <w:tc>
          <w:tcPr>
            <w:tcW w:w="600" w:type="dxa"/>
            <w:tcBorders/>
            <w:vAlign w:val="center"/>
          </w:tcPr>
          <w:p>
            <w:pPr>
              <w:pStyle w:val="TableContents"/>
              <w:bidi w:val="0"/>
              <w:spacing w:before="0" w:after="0"/>
              <w:ind w:left="0" w:right="0" w:firstLine="540"/>
              <w:jc w:val="left"/>
              <w:rPr>
                <w:caps w:val="false"/>
                <w:smallCaps w:val="false"/>
              </w:rPr>
            </w:pPr>
            <w:r>
              <w:rPr>
                <w:caps w:val="false"/>
                <w:smallCaps w:val="false"/>
              </w:rPr>
              <w:t> </w:t>
            </w:r>
          </w:p>
        </w:tc>
        <w:tc>
          <w:tcPr>
            <w:tcW w:w="1358" w:type="dxa"/>
            <w:tcBorders/>
            <w:vAlign w:val="center"/>
          </w:tcPr>
          <w:p>
            <w:pPr>
              <w:pStyle w:val="TableContents"/>
              <w:bidi w:val="0"/>
              <w:spacing w:before="0" w:after="0"/>
              <w:ind w:left="0" w:right="0" w:firstLine="540"/>
              <w:jc w:val="left"/>
              <w:rPr>
                <w:caps w:val="false"/>
                <w:smallCaps w:val="false"/>
              </w:rPr>
            </w:pPr>
            <w:r>
              <w:rPr>
                <w:caps w:val="false"/>
                <w:smallCaps w:val="false"/>
              </w:rPr>
              <w:t> </w:t>
            </w:r>
          </w:p>
        </w:tc>
        <w:tc>
          <w:tcPr>
            <w:tcW w:w="600" w:type="dxa"/>
            <w:tcBorders/>
            <w:vAlign w:val="center"/>
          </w:tcPr>
          <w:p>
            <w:pPr>
              <w:pStyle w:val="TableContents"/>
              <w:bidi w:val="0"/>
              <w:spacing w:before="0" w:after="0"/>
              <w:ind w:left="0" w:right="0" w:firstLine="540"/>
              <w:jc w:val="left"/>
              <w:rPr>
                <w:caps w:val="false"/>
                <w:smallCaps w:val="false"/>
              </w:rPr>
            </w:pPr>
            <w:r>
              <w:rPr>
                <w:caps w:val="false"/>
                <w:smallCaps w:val="false"/>
              </w:rPr>
              <w:t> </w:t>
            </w:r>
          </w:p>
        </w:tc>
        <w:tc>
          <w:tcPr>
            <w:tcW w:w="5289" w:type="dxa"/>
            <w:tcBorders/>
            <w:vAlign w:val="center"/>
          </w:tcPr>
          <w:p>
            <w:pPr>
              <w:pStyle w:val="TableContents"/>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Interim Chief Executive Officer and Chief Scientific Officer</w:t>
            </w:r>
          </w:p>
        </w:tc>
      </w:tr>
      <w:tr>
        <w:trPr/>
        <w:tc>
          <w:tcPr>
            <w:tcW w:w="2358" w:type="dxa"/>
            <w:tcBorders/>
            <w:vAlign w:val="center"/>
          </w:tcPr>
          <w:p>
            <w:pPr>
              <w:pStyle w:val="TableContents"/>
              <w:bidi w:val="0"/>
              <w:spacing w:before="0" w:after="283"/>
              <w:jc w:val="left"/>
              <w:rPr/>
            </w:pPr>
            <w:r>
              <w:rPr/>
              <w:t> </w:t>
            </w:r>
          </w:p>
        </w:tc>
        <w:tc>
          <w:tcPr>
            <w:tcW w:w="600" w:type="dxa"/>
            <w:tcBorders/>
            <w:vAlign w:val="center"/>
          </w:tcPr>
          <w:p>
            <w:pPr>
              <w:pStyle w:val="TableContents"/>
              <w:bidi w:val="0"/>
              <w:spacing w:before="0" w:after="283"/>
              <w:jc w:val="left"/>
              <w:rPr/>
            </w:pPr>
            <w:r>
              <w:rPr/>
              <w:t> </w:t>
            </w:r>
          </w:p>
        </w:tc>
        <w:tc>
          <w:tcPr>
            <w:tcW w:w="1358" w:type="dxa"/>
            <w:tcBorders/>
            <w:vAlign w:val="center"/>
          </w:tcPr>
          <w:p>
            <w:pPr>
              <w:pStyle w:val="TableContents"/>
              <w:bidi w:val="0"/>
              <w:spacing w:before="0" w:after="283"/>
              <w:jc w:val="left"/>
              <w:rPr/>
            </w:pPr>
            <w:r>
              <w:rPr/>
              <w:t> </w:t>
            </w:r>
          </w:p>
        </w:tc>
        <w:tc>
          <w:tcPr>
            <w:tcW w:w="600" w:type="dxa"/>
            <w:tcBorders/>
            <w:vAlign w:val="center"/>
          </w:tcPr>
          <w:p>
            <w:pPr>
              <w:pStyle w:val="TableContents"/>
              <w:bidi w:val="0"/>
              <w:spacing w:before="0" w:after="283"/>
              <w:jc w:val="left"/>
              <w:rPr/>
            </w:pPr>
            <w:r>
              <w:rPr/>
              <w:t> </w:t>
            </w:r>
          </w:p>
        </w:tc>
        <w:tc>
          <w:tcPr>
            <w:tcW w:w="5289" w:type="dxa"/>
            <w:tcBorders/>
            <w:vAlign w:val="center"/>
          </w:tcPr>
          <w:p>
            <w:pPr>
              <w:pStyle w:val="TableContents"/>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(Principal Executive Officer)</w:t>
            </w:r>
          </w:p>
        </w:tc>
      </w:tr>
      <w:tr>
        <w:trPr/>
        <w:tc>
          <w:tcPr>
            <w:tcW w:w="2358" w:type="dxa"/>
            <w:tcBorders/>
            <w:vAlign w:val="center"/>
          </w:tcPr>
          <w:p>
            <w:pPr>
              <w:pStyle w:val="TableContents"/>
              <w:bidi w:val="0"/>
              <w:spacing w:before="0" w:after="283"/>
              <w:jc w:val="left"/>
              <w:rPr/>
            </w:pPr>
            <w:r>
              <w:rPr/>
              <w:t> </w:t>
            </w:r>
          </w:p>
        </w:tc>
        <w:tc>
          <w:tcPr>
            <w:tcW w:w="600" w:type="dxa"/>
            <w:tcBorders/>
            <w:vAlign w:val="center"/>
          </w:tcPr>
          <w:p>
            <w:pPr>
              <w:pStyle w:val="TableContents"/>
              <w:bidi w:val="0"/>
              <w:spacing w:before="0" w:after="283"/>
              <w:jc w:val="left"/>
              <w:rPr/>
            </w:pPr>
            <w:r>
              <w:rPr/>
              <w:t> </w:t>
            </w:r>
          </w:p>
        </w:tc>
        <w:tc>
          <w:tcPr>
            <w:tcW w:w="7247" w:type="dxa"/>
            <w:gridSpan w:val="3"/>
            <w:tcBorders/>
            <w:vAlign w:val="center"/>
          </w:tcPr>
          <w:p>
            <w:pPr>
              <w:pStyle w:val="TableContents"/>
              <w:bidi w:val="0"/>
              <w:spacing w:before="0" w:after="283"/>
              <w:jc w:val="left"/>
              <w:rPr/>
            </w:pPr>
            <w:r>
              <w:rPr/>
              <w:t> </w:t>
            </w:r>
          </w:p>
        </w:tc>
      </w:tr>
      <w:tr>
        <w:trPr/>
        <w:tc>
          <w:tcPr>
            <w:tcW w:w="2358" w:type="dxa"/>
            <w:tcBorders/>
            <w:vAlign w:val="center"/>
          </w:tcPr>
          <w:p>
            <w:pPr>
              <w:pStyle w:val="TableContents"/>
              <w:bidi w:val="0"/>
              <w:spacing w:before="0" w:after="0"/>
              <w:ind w:left="0" w:right="0" w:firstLine="540"/>
              <w:jc w:val="left"/>
              <w:rPr>
                <w:caps w:val="false"/>
                <w:smallCaps w:val="false"/>
              </w:rPr>
            </w:pPr>
            <w:r>
              <w:rPr>
                <w:caps w:val="false"/>
                <w:smallCaps w:val="false"/>
              </w:rPr>
              <w:t> </w:t>
            </w:r>
          </w:p>
        </w:tc>
        <w:tc>
          <w:tcPr>
            <w:tcW w:w="600" w:type="dxa"/>
            <w:tcBorders/>
            <w:vAlign w:val="center"/>
          </w:tcPr>
          <w:p>
            <w:pPr>
              <w:pStyle w:val="TableContents"/>
              <w:bidi w:val="0"/>
              <w:spacing w:before="0" w:after="0"/>
              <w:ind w:left="0" w:right="0" w:firstLine="540"/>
              <w:jc w:val="left"/>
              <w:rPr>
                <w:caps w:val="false"/>
                <w:smallCaps w:val="false"/>
              </w:rPr>
            </w:pPr>
            <w:r>
              <w:rPr>
                <w:caps w:val="false"/>
                <w:smallCaps w:val="false"/>
              </w:rPr>
              <w:t> </w:t>
            </w:r>
          </w:p>
        </w:tc>
        <w:tc>
          <w:tcPr>
            <w:tcW w:w="1358" w:type="dxa"/>
            <w:tcBorders/>
            <w:vAlign w:val="center"/>
          </w:tcPr>
          <w:p>
            <w:pPr>
              <w:pStyle w:val="TableContents"/>
              <w:bidi w:val="0"/>
              <w:spacing w:before="0" w:after="0"/>
              <w:ind w:left="0" w:right="0" w:firstLine="540"/>
              <w:jc w:val="left"/>
              <w:rPr>
                <w:caps w:val="false"/>
                <w:smallCaps w:val="false"/>
              </w:rPr>
            </w:pPr>
            <w:r>
              <w:rPr>
                <w:caps w:val="false"/>
                <w:smallCaps w:val="false"/>
              </w:rPr>
              <w:t> </w:t>
            </w:r>
          </w:p>
        </w:tc>
        <w:tc>
          <w:tcPr>
            <w:tcW w:w="5889" w:type="dxa"/>
            <w:gridSpan w:val="2"/>
            <w:tcBorders/>
            <w:vAlign w:val="center"/>
          </w:tcPr>
          <w:p>
            <w:pPr>
              <w:pStyle w:val="TableContents"/>
              <w:bidi w:val="0"/>
              <w:spacing w:before="0" w:after="0"/>
              <w:ind w:left="0" w:right="0" w:firstLine="540"/>
              <w:jc w:val="left"/>
              <w:rPr>
                <w:caps w:val="false"/>
                <w:smallCaps w:val="false"/>
              </w:rPr>
            </w:pPr>
            <w:r>
              <w:rPr>
                <w:caps w:val="false"/>
                <w:smallCaps w:val="false"/>
              </w:rPr>
              <w:t> </w:t>
            </w:r>
          </w:p>
        </w:tc>
      </w:tr>
      <w:tr>
        <w:trPr/>
        <w:tc>
          <w:tcPr>
            <w:tcW w:w="2358" w:type="dxa"/>
            <w:tcBorders/>
            <w:vAlign w:val="center"/>
          </w:tcPr>
          <w:p>
            <w:pPr>
              <w:pStyle w:val="TableContents"/>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Date: August 13, 2026</w:t>
            </w:r>
          </w:p>
        </w:tc>
        <w:tc>
          <w:tcPr>
            <w:tcW w:w="600" w:type="dxa"/>
            <w:tcBorders/>
            <w:vAlign w:val="center"/>
          </w:tcPr>
          <w:p>
            <w:pPr>
              <w:pStyle w:val="TableContents"/>
              <w:bidi w:val="0"/>
              <w:spacing w:before="0" w:after="0"/>
              <w:ind w:left="0" w:right="0" w:firstLine="540"/>
              <w:jc w:val="left"/>
              <w:rPr>
                <w:caps w:val="false"/>
                <w:smallCaps w:val="false"/>
              </w:rPr>
            </w:pPr>
            <w:r>
              <w:rPr>
                <w:caps w:val="false"/>
                <w:smallCaps w:val="false"/>
              </w:rPr>
              <w:t> </w:t>
            </w:r>
          </w:p>
        </w:tc>
        <w:tc>
          <w:tcPr>
            <w:tcW w:w="1358" w:type="dxa"/>
            <w:tcBorders/>
            <w:vAlign w:val="center"/>
          </w:tcPr>
          <w:p>
            <w:pPr>
              <w:pStyle w:val="TableContents"/>
              <w:bidi w:val="0"/>
              <w:spacing w:before="0" w:after="0"/>
              <w:ind w:left="0" w:right="0" w:firstLine="1040"/>
              <w:jc w:val="left"/>
              <w:rPr>
                <w:rFonts w:ascii="Times New Roman" w:hAnsi="Times New Roman"/>
                <w:caps w:val="false"/>
                <w:smallCaps w:val="false"/>
                <w:sz w:val="20"/>
              </w:rPr>
            </w:pPr>
            <w:r>
              <w:rPr>
                <w:rFonts w:ascii="Times New Roman" w:hAnsi="Times New Roman"/>
                <w:caps w:val="false"/>
                <w:smallCaps w:val="false"/>
                <w:sz w:val="20"/>
              </w:rPr>
              <w:t>By:</w:t>
            </w:r>
          </w:p>
        </w:tc>
        <w:tc>
          <w:tcPr>
            <w:tcW w:w="600" w:type="dxa"/>
            <w:tcBorders/>
            <w:vAlign w:val="center"/>
          </w:tcPr>
          <w:p>
            <w:pPr>
              <w:pStyle w:val="TableContents"/>
              <w:bidi w:val="0"/>
              <w:spacing w:before="0" w:after="0"/>
              <w:ind w:left="0" w:right="0" w:firstLine="540"/>
              <w:jc w:val="left"/>
              <w:rPr>
                <w:caps w:val="false"/>
                <w:smallCaps w:val="false"/>
              </w:rPr>
            </w:pPr>
            <w:r>
              <w:rPr>
                <w:caps w:val="false"/>
                <w:smallCaps w:val="false"/>
              </w:rPr>
              <w:t> </w:t>
            </w:r>
          </w:p>
        </w:tc>
        <w:tc>
          <w:tcPr>
            <w:tcW w:w="5289" w:type="dxa"/>
            <w:tcBorders>
              <w:bottom w:val="single" w:sz="2" w:space="0" w:color="000000"/>
            </w:tcBorders>
            <w:tcMar>
              <w:bottom w:w="28" w:type="dxa"/>
            </w:tcMar>
            <w:vAlign w:val="center"/>
          </w:tcPr>
          <w:p>
            <w:pPr>
              <w:pStyle w:val="TableContents"/>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/S/ Angela Hu</w:t>
            </w:r>
          </w:p>
        </w:tc>
      </w:tr>
      <w:tr>
        <w:trPr/>
        <w:tc>
          <w:tcPr>
            <w:tcW w:w="2358" w:type="dxa"/>
            <w:tcBorders/>
            <w:vAlign w:val="center"/>
          </w:tcPr>
          <w:p>
            <w:pPr>
              <w:pStyle w:val="TableContents"/>
              <w:bidi w:val="0"/>
              <w:spacing w:before="0" w:after="0"/>
              <w:ind w:left="0" w:right="0" w:firstLine="540"/>
              <w:jc w:val="left"/>
              <w:rPr>
                <w:caps w:val="false"/>
                <w:smallCaps w:val="false"/>
              </w:rPr>
            </w:pPr>
            <w:r>
              <w:rPr>
                <w:caps w:val="false"/>
                <w:smallCaps w:val="false"/>
              </w:rPr>
              <w:t> </w:t>
            </w:r>
          </w:p>
        </w:tc>
        <w:tc>
          <w:tcPr>
            <w:tcW w:w="600" w:type="dxa"/>
            <w:tcBorders/>
            <w:vAlign w:val="center"/>
          </w:tcPr>
          <w:p>
            <w:pPr>
              <w:pStyle w:val="TableContents"/>
              <w:bidi w:val="0"/>
              <w:spacing w:before="0" w:after="0"/>
              <w:ind w:left="0" w:right="0" w:firstLine="540"/>
              <w:jc w:val="left"/>
              <w:rPr>
                <w:caps w:val="false"/>
                <w:smallCaps w:val="false"/>
              </w:rPr>
            </w:pPr>
            <w:r>
              <w:rPr>
                <w:caps w:val="false"/>
                <w:smallCaps w:val="false"/>
              </w:rPr>
              <w:t> </w:t>
            </w:r>
          </w:p>
        </w:tc>
        <w:tc>
          <w:tcPr>
            <w:tcW w:w="1358" w:type="dxa"/>
            <w:tcBorders/>
            <w:vAlign w:val="center"/>
          </w:tcPr>
          <w:p>
            <w:pPr>
              <w:pStyle w:val="TableContents"/>
              <w:bidi w:val="0"/>
              <w:spacing w:before="0" w:after="0"/>
              <w:ind w:left="0" w:right="0" w:firstLine="540"/>
              <w:jc w:val="left"/>
              <w:rPr>
                <w:caps w:val="false"/>
                <w:smallCaps w:val="false"/>
              </w:rPr>
            </w:pPr>
            <w:r>
              <w:rPr>
                <w:caps w:val="false"/>
                <w:smallCaps w:val="false"/>
              </w:rPr>
              <w:t> </w:t>
            </w:r>
          </w:p>
        </w:tc>
        <w:tc>
          <w:tcPr>
            <w:tcW w:w="600" w:type="dxa"/>
            <w:tcBorders/>
            <w:vAlign w:val="center"/>
          </w:tcPr>
          <w:p>
            <w:pPr>
              <w:pStyle w:val="TableContents"/>
              <w:bidi w:val="0"/>
              <w:spacing w:before="0" w:after="0"/>
              <w:ind w:left="0" w:right="0" w:firstLine="540"/>
              <w:jc w:val="left"/>
              <w:rPr>
                <w:caps w:val="false"/>
                <w:smallCaps w:val="false"/>
              </w:rPr>
            </w:pPr>
            <w:r>
              <w:rPr>
                <w:caps w:val="false"/>
                <w:smallCaps w:val="false"/>
              </w:rPr>
              <w:t> </w:t>
            </w:r>
          </w:p>
        </w:tc>
        <w:tc>
          <w:tcPr>
            <w:tcW w:w="5289" w:type="dxa"/>
            <w:tcBorders/>
            <w:vAlign w:val="center"/>
          </w:tcPr>
          <w:p>
            <w:pPr>
              <w:pStyle w:val="TableContents"/>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Angela Hu</w:t>
            </w:r>
          </w:p>
        </w:tc>
      </w:tr>
      <w:tr>
        <w:trPr/>
        <w:tc>
          <w:tcPr>
            <w:tcW w:w="2358" w:type="dxa"/>
            <w:tcBorders/>
            <w:vAlign w:val="center"/>
          </w:tcPr>
          <w:p>
            <w:pPr>
              <w:pStyle w:val="TableContents"/>
              <w:bidi w:val="0"/>
              <w:spacing w:before="0" w:after="0"/>
              <w:ind w:left="0" w:right="0" w:firstLine="540"/>
              <w:jc w:val="left"/>
              <w:rPr>
                <w:caps w:val="false"/>
                <w:smallCaps w:val="false"/>
              </w:rPr>
            </w:pPr>
            <w:r>
              <w:rPr>
                <w:caps w:val="false"/>
                <w:smallCaps w:val="false"/>
              </w:rPr>
              <w:t> </w:t>
            </w:r>
          </w:p>
        </w:tc>
        <w:tc>
          <w:tcPr>
            <w:tcW w:w="600" w:type="dxa"/>
            <w:tcBorders/>
            <w:vAlign w:val="center"/>
          </w:tcPr>
          <w:p>
            <w:pPr>
              <w:pStyle w:val="TableContents"/>
              <w:bidi w:val="0"/>
              <w:spacing w:before="0" w:after="0"/>
              <w:ind w:left="0" w:right="0" w:firstLine="540"/>
              <w:jc w:val="left"/>
              <w:rPr>
                <w:caps w:val="false"/>
                <w:smallCaps w:val="false"/>
              </w:rPr>
            </w:pPr>
            <w:r>
              <w:rPr>
                <w:caps w:val="false"/>
                <w:smallCaps w:val="false"/>
              </w:rPr>
              <w:t> </w:t>
            </w:r>
          </w:p>
        </w:tc>
        <w:tc>
          <w:tcPr>
            <w:tcW w:w="1358" w:type="dxa"/>
            <w:tcBorders/>
            <w:vAlign w:val="center"/>
          </w:tcPr>
          <w:p>
            <w:pPr>
              <w:pStyle w:val="TableContents"/>
              <w:bidi w:val="0"/>
              <w:spacing w:before="0" w:after="0"/>
              <w:ind w:left="0" w:right="0" w:firstLine="540"/>
              <w:jc w:val="left"/>
              <w:rPr>
                <w:caps w:val="false"/>
                <w:smallCaps w:val="false"/>
              </w:rPr>
            </w:pPr>
            <w:r>
              <w:rPr>
                <w:caps w:val="false"/>
                <w:smallCaps w:val="false"/>
              </w:rPr>
              <w:t> </w:t>
            </w:r>
          </w:p>
        </w:tc>
        <w:tc>
          <w:tcPr>
            <w:tcW w:w="600" w:type="dxa"/>
            <w:tcBorders/>
            <w:vAlign w:val="center"/>
          </w:tcPr>
          <w:p>
            <w:pPr>
              <w:pStyle w:val="TableContents"/>
              <w:bidi w:val="0"/>
              <w:spacing w:before="0" w:after="0"/>
              <w:ind w:left="0" w:right="0" w:firstLine="540"/>
              <w:jc w:val="left"/>
              <w:rPr>
                <w:caps w:val="false"/>
                <w:smallCaps w:val="false"/>
              </w:rPr>
            </w:pPr>
            <w:r>
              <w:rPr>
                <w:caps w:val="false"/>
                <w:smallCaps w:val="false"/>
              </w:rPr>
              <w:t> </w:t>
            </w:r>
          </w:p>
        </w:tc>
        <w:tc>
          <w:tcPr>
            <w:tcW w:w="5289" w:type="dxa"/>
            <w:tcBorders/>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Director of Finance</w:t>
            </w:r>
          </w:p>
          <w:p>
            <w:pPr>
              <w:pStyle w:val="TableContents"/>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(Principal Financial Officer)</w:t>
            </w:r>
          </w:p>
        </w:tc>
      </w:tr>
      <w:tr>
        <w:trPr/>
        <w:tc>
          <w:tcPr>
            <w:tcW w:w="2358" w:type="dxa"/>
            <w:tcBorders/>
            <w:vAlign w:val="center"/>
          </w:tcPr>
          <w:p>
            <w:pPr>
              <w:pStyle w:val="TableContents"/>
              <w:bidi w:val="0"/>
              <w:spacing w:before="0" w:after="283"/>
              <w:jc w:val="left"/>
              <w:rPr/>
            </w:pPr>
            <w:r>
              <w:rPr/>
              <w:t> </w:t>
            </w:r>
          </w:p>
        </w:tc>
        <w:tc>
          <w:tcPr>
            <w:tcW w:w="600" w:type="dxa"/>
            <w:tcBorders/>
            <w:vAlign w:val="center"/>
          </w:tcPr>
          <w:p>
            <w:pPr>
              <w:pStyle w:val="TableContents"/>
              <w:bidi w:val="0"/>
              <w:spacing w:before="0" w:after="283"/>
              <w:jc w:val="left"/>
              <w:rPr/>
            </w:pPr>
            <w:r>
              <w:rPr/>
              <w:t> </w:t>
            </w:r>
          </w:p>
        </w:tc>
        <w:tc>
          <w:tcPr>
            <w:tcW w:w="1358" w:type="dxa"/>
            <w:tcBorders/>
            <w:vAlign w:val="center"/>
          </w:tcPr>
          <w:p>
            <w:pPr>
              <w:pStyle w:val="TableContents"/>
              <w:bidi w:val="0"/>
              <w:spacing w:before="0" w:after="283"/>
              <w:jc w:val="left"/>
              <w:rPr/>
            </w:pPr>
            <w:r>
              <w:rPr/>
              <w:t> </w:t>
            </w:r>
          </w:p>
        </w:tc>
        <w:tc>
          <w:tcPr>
            <w:tcW w:w="60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5289"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 w:hAnsi="Times New Roman"/>
          <w:sz w:val="20"/>
        </w:rPr>
      </w:pPr>
      <w:r>
        <w:rPr>
          <w:rFonts w:ascii="Times New Roman" w:hAnsi="Times New Roman"/>
          <w:sz w:val="20"/>
        </w:rPr>
        <w:t>26</w:t>
      </w:r>
    </w:p>
    <w:p>
      <w:pPr>
        <w:pStyle w:val="TextBody"/>
        <w:bidi w:val="0"/>
        <w:spacing w:before="0" w:after="0"/>
        <w:ind w:left="0" w:right="0" w:hanging="0"/>
        <w:jc w:val="right"/>
        <w:rPr>
          <w:rFonts w:ascii="Times New Roman;Times;serif" w:hAnsi="Times New Roman;Times;serif"/>
          <w:b/>
          <w:caps w:val="false"/>
          <w:smallCaps w:val="false"/>
          <w:sz w:val="20"/>
        </w:rPr>
      </w:pPr>
      <w:bookmarkStart w:id="18" w:name="ex_998583.htm"/>
      <w:bookmarkStart w:id="19" w:name="ksex_998583"/>
      <w:bookmarkEnd w:id="18"/>
      <w:bookmarkEnd w:id="19"/>
      <w:r>
        <w:rPr>
          <w:rFonts w:ascii="Times New Roman;Times;serif" w:hAnsi="Times New Roman;Times;serif"/>
          <w:b/>
          <w:caps w:val="false"/>
          <w:smallCaps w:val="false"/>
          <w:sz w:val="20"/>
        </w:rPr>
        <w:t>Exhibit 31.1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Sushma Shivaswamy, certify that:</w:t>
      </w:r>
    </w:p>
    <w:p>
      <w:pPr>
        <w:pStyle w:val="TextBody"/>
        <w:bidi w:val="0"/>
        <w:spacing w:before="0" w:after="0"/>
        <w:ind w:left="0" w:right="0" w:hanging="0"/>
        <w:jc w:val="left"/>
        <w:rPr>
          <w:caps w:val="false"/>
          <w:smallCaps w:val="false"/>
        </w:rPr>
      </w:pPr>
      <w:r>
        <w:rPr>
          <w:caps w:val="false"/>
          <w:smallCaps w:val="false"/>
        </w:rPr>
        <w:t> </w:t>
      </w:r>
    </w:p>
    <w:tbl>
      <w:tblPr>
        <w:tblW w:w="5725" w:type="dxa"/>
        <w:jc w:val="left"/>
        <w:tblInd w:w="0" w:type="dxa"/>
        <w:tblLayout w:type="fixed"/>
        <w:tblCellMar>
          <w:top w:w="0" w:type="dxa"/>
          <w:left w:w="0" w:type="dxa"/>
          <w:bottom w:w="0" w:type="dxa"/>
          <w:right w:w="0" w:type="dxa"/>
        </w:tblCellMar>
      </w:tblPr>
      <w:tblGrid>
        <w:gridCol w:w="170"/>
        <w:gridCol w:w="5555"/>
      </w:tblGrid>
      <w:tr>
        <w:trPr/>
        <w:tc>
          <w:tcPr>
            <w:tcW w:w="1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55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have reviewed this quarterly report on Form 10-Q of XBiotech Inc.;</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8"/>
        <w:gridCol w:w="9957"/>
      </w:tblGrid>
      <w:tr>
        <w:trPr/>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99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4"/>
        <w:gridCol w:w="9941"/>
      </w:tblGrid>
      <w:tr>
        <w:trPr/>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9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5"/>
        <w:gridCol w:w="9950"/>
      </w:tblGrid>
      <w:tr>
        <w:trPr/>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w:t>
            </w:r>
          </w:p>
        </w:tc>
        <w:tc>
          <w:tcPr>
            <w:tcW w:w="99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4"/>
        <w:gridCol w:w="9941"/>
      </w:tblGrid>
      <w:tr>
        <w:trPr/>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w:t>
            </w:r>
          </w:p>
        </w:tc>
        <w:tc>
          <w:tcPr>
            <w:tcW w:w="9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w:t>
            </w:r>
          </w:p>
        </w:tc>
        <w:tc>
          <w:tcPr>
            <w:tcW w:w="10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6"/>
        <w:gridCol w:w="9949"/>
      </w:tblGrid>
      <w:tr>
        <w:trPr/>
        <w:tc>
          <w:tcPr>
            <w:tcW w:w="6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99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27"/>
        <w:gridCol w:w="9918"/>
      </w:tblGrid>
      <w:tr>
        <w:trPr/>
        <w:tc>
          <w:tcPr>
            <w:tcW w:w="6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99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August 13, 2026</w:t>
      </w:r>
    </w:p>
    <w:p>
      <w:pPr>
        <w:pStyle w:val="TextBody"/>
        <w:bidi w:val="0"/>
        <w:spacing w:before="0" w:after="0"/>
        <w:ind w:left="0" w:right="0" w:hanging="0"/>
        <w:jc w:val="left"/>
        <w:rPr>
          <w:caps w:val="false"/>
          <w:smallCaps w:val="false"/>
        </w:rPr>
      </w:pPr>
      <w:r>
        <w:rPr>
          <w:caps w:val="false"/>
          <w:smallCaps w:val="false"/>
        </w:rPr>
        <w:t> </w:t>
      </w:r>
    </w:p>
    <w:tbl>
      <w:tblPr>
        <w:tblW w:w="5750" w:type="dxa"/>
        <w:jc w:val="left"/>
        <w:tblInd w:w="0" w:type="dxa"/>
        <w:tblLayout w:type="fixed"/>
        <w:tblCellMar>
          <w:top w:w="0" w:type="dxa"/>
          <w:left w:w="0" w:type="dxa"/>
          <w:bottom w:w="0" w:type="dxa"/>
          <w:right w:w="0" w:type="dxa"/>
        </w:tblCellMar>
      </w:tblPr>
      <w:tblGrid>
        <w:gridCol w:w="60"/>
        <w:gridCol w:w="5690"/>
      </w:tblGrid>
      <w:tr>
        <w:trPr/>
        <w:tc>
          <w:tcPr>
            <w:tcW w:w="60" w:type="dxa"/>
            <w:tcBorders/>
            <w:vAlign w:val="center"/>
          </w:tcPr>
          <w:p>
            <w:pPr>
              <w:pStyle w:val="TableContents"/>
              <w:bidi w:val="0"/>
              <w:spacing w:before="0" w:after="283"/>
              <w:jc w:val="left"/>
              <w:rPr/>
            </w:pPr>
            <w:r>
              <w:rPr/>
              <w:t> </w:t>
            </w:r>
          </w:p>
        </w:tc>
        <w:tc>
          <w:tcPr>
            <w:tcW w:w="5690" w:type="dxa"/>
            <w:tcBorders/>
            <w:vAlign w:val="center"/>
          </w:tcPr>
          <w:p>
            <w:pPr>
              <w:pStyle w:val="TableContents"/>
              <w:bidi w:val="0"/>
              <w:spacing w:before="0" w:after="283"/>
              <w:jc w:val="left"/>
              <w:rPr/>
            </w:pPr>
            <w:r>
              <w:rPr>
                <w:u w:val="single"/>
              </w:rPr>
              <w:t>/S/ </w:t>
            </w:r>
            <w:r>
              <w:rPr>
                <w:b/>
                <w:u w:val="single"/>
              </w:rPr>
              <w:t>SUSHMA SHIVASWAMY</w:t>
            </w:r>
          </w:p>
        </w:tc>
      </w:tr>
      <w:tr>
        <w:trPr/>
        <w:tc>
          <w:tcPr>
            <w:tcW w:w="60" w:type="dxa"/>
            <w:tcBorders/>
            <w:vAlign w:val="center"/>
          </w:tcPr>
          <w:p>
            <w:pPr>
              <w:pStyle w:val="TableContents"/>
              <w:bidi w:val="0"/>
              <w:spacing w:before="0" w:after="283"/>
              <w:jc w:val="left"/>
              <w:rPr/>
            </w:pPr>
            <w:r>
              <w:rPr/>
              <w:t> </w:t>
            </w:r>
          </w:p>
        </w:tc>
        <w:tc>
          <w:tcPr>
            <w:tcW w:w="5690" w:type="dxa"/>
            <w:tcBorders/>
            <w:vAlign w:val="center"/>
          </w:tcPr>
          <w:p>
            <w:pPr>
              <w:pStyle w:val="TableContents"/>
              <w:bidi w:val="0"/>
              <w:spacing w:before="0" w:after="283"/>
              <w:jc w:val="left"/>
              <w:rPr/>
            </w:pPr>
            <w:r>
              <w:rPr/>
              <w:t>Sushma Shivaswamy</w:t>
            </w:r>
          </w:p>
        </w:tc>
      </w:tr>
      <w:tr>
        <w:trPr/>
        <w:tc>
          <w:tcPr>
            <w:tcW w:w="60" w:type="dxa"/>
            <w:tcBorders/>
            <w:vAlign w:val="center"/>
          </w:tcPr>
          <w:p>
            <w:pPr>
              <w:pStyle w:val="TableContents"/>
              <w:bidi w:val="0"/>
              <w:spacing w:before="0" w:after="283"/>
              <w:jc w:val="left"/>
              <w:rPr/>
            </w:pPr>
            <w:r>
              <w:rPr/>
              <w:t> </w:t>
            </w:r>
          </w:p>
        </w:tc>
        <w:tc>
          <w:tcPr>
            <w:tcW w:w="5690" w:type="dxa"/>
            <w:tcBorders/>
            <w:vAlign w:val="center"/>
          </w:tcPr>
          <w:p>
            <w:pPr>
              <w:pStyle w:val="TableContents"/>
              <w:bidi w:val="0"/>
              <w:spacing w:before="0" w:after="283"/>
              <w:jc w:val="left"/>
              <w:rPr/>
            </w:pPr>
            <w:r>
              <w:rPr/>
              <w:t>Interim Chief Executive Officer and Chief Scientific Officer</w:t>
            </w:r>
          </w:p>
        </w:tc>
      </w:tr>
      <w:tr>
        <w:trPr/>
        <w:tc>
          <w:tcPr>
            <w:tcW w:w="60" w:type="dxa"/>
            <w:tcBorders/>
            <w:vAlign w:val="center"/>
          </w:tcPr>
          <w:p>
            <w:pPr>
              <w:pStyle w:val="TableContents"/>
              <w:bidi w:val="0"/>
              <w:spacing w:before="0" w:after="283"/>
              <w:jc w:val="left"/>
              <w:rPr/>
            </w:pPr>
            <w:r>
              <w:rPr/>
              <w:t> </w:t>
            </w:r>
          </w:p>
        </w:tc>
        <w:tc>
          <w:tcPr>
            <w:tcW w:w="5690" w:type="dxa"/>
            <w:tcBorders/>
            <w:vAlign w:val="center"/>
          </w:tcPr>
          <w:p>
            <w:pPr>
              <w:pStyle w:val="TableContents"/>
              <w:bidi w:val="0"/>
              <w:spacing w:before="0" w:after="283"/>
              <w:jc w:val="left"/>
              <w:rPr/>
            </w:pPr>
            <w:r>
              <w:rPr/>
              <w:t>(Principal Executive Officer)</w:t>
            </w:r>
          </w:p>
        </w:tc>
      </w:tr>
    </w:tbl>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20" w:name="ex_998584.htm"/>
      <w:bookmarkStart w:id="21" w:name="ksex_998584"/>
      <w:bookmarkEnd w:id="20"/>
      <w:bookmarkEnd w:id="21"/>
      <w:r>
        <w:rPr>
          <w:rFonts w:ascii="Times New Roman" w:hAnsi="Times New Roman"/>
          <w:b/>
          <w:caps w:val="false"/>
          <w:smallCaps w:val="false"/>
          <w:sz w:val="20"/>
        </w:rPr>
        <w:t>Exhibit 31.2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Angela Hu, certify that:</w:t>
      </w:r>
    </w:p>
    <w:p>
      <w:pPr>
        <w:pStyle w:val="TextBody"/>
        <w:bidi w:val="0"/>
        <w:spacing w:before="0" w:after="0"/>
        <w:ind w:left="0" w:right="0" w:hanging="0"/>
        <w:jc w:val="left"/>
        <w:rPr>
          <w:caps w:val="false"/>
          <w:smallCaps w:val="false"/>
        </w:rPr>
      </w:pPr>
      <w:r>
        <w:rPr>
          <w:caps w:val="false"/>
          <w:smallCaps w:val="false"/>
        </w:rPr>
        <w:t> </w:t>
      </w:r>
    </w:p>
    <w:tbl>
      <w:tblPr>
        <w:tblW w:w="5725" w:type="dxa"/>
        <w:jc w:val="left"/>
        <w:tblInd w:w="0" w:type="dxa"/>
        <w:tblLayout w:type="fixed"/>
        <w:tblCellMar>
          <w:top w:w="0" w:type="dxa"/>
          <w:left w:w="0" w:type="dxa"/>
          <w:bottom w:w="0" w:type="dxa"/>
          <w:right w:w="0" w:type="dxa"/>
        </w:tblCellMar>
      </w:tblPr>
      <w:tblGrid>
        <w:gridCol w:w="170"/>
        <w:gridCol w:w="5555"/>
      </w:tblGrid>
      <w:tr>
        <w:trPr/>
        <w:tc>
          <w:tcPr>
            <w:tcW w:w="1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55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have reviewed this quarterly report on Form 10-Q of XBiotech Inc.;</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8"/>
        <w:gridCol w:w="9957"/>
      </w:tblGrid>
      <w:tr>
        <w:trPr/>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99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4"/>
        <w:gridCol w:w="9941"/>
      </w:tblGrid>
      <w:tr>
        <w:trPr/>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9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5"/>
        <w:gridCol w:w="9950"/>
      </w:tblGrid>
      <w:tr>
        <w:trPr/>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w:t>
            </w:r>
          </w:p>
        </w:tc>
        <w:tc>
          <w:tcPr>
            <w:tcW w:w="99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4"/>
        <w:gridCol w:w="9941"/>
      </w:tblGrid>
      <w:tr>
        <w:trPr/>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w:t>
            </w:r>
          </w:p>
        </w:tc>
        <w:tc>
          <w:tcPr>
            <w:tcW w:w="9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w:t>
            </w:r>
          </w:p>
        </w:tc>
        <w:tc>
          <w:tcPr>
            <w:tcW w:w="10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6"/>
        <w:gridCol w:w="9949"/>
      </w:tblGrid>
      <w:tr>
        <w:trPr/>
        <w:tc>
          <w:tcPr>
            <w:tcW w:w="6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99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27"/>
        <w:gridCol w:w="9918"/>
      </w:tblGrid>
      <w:tr>
        <w:trPr/>
        <w:tc>
          <w:tcPr>
            <w:tcW w:w="6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99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August 13, 2026</w:t>
      </w:r>
    </w:p>
    <w:p>
      <w:pPr>
        <w:pStyle w:val="TextBody"/>
        <w:bidi w:val="0"/>
        <w:spacing w:before="0" w:after="0"/>
        <w:ind w:left="0" w:right="0" w:hanging="0"/>
        <w:jc w:val="left"/>
        <w:rPr>
          <w:caps w:val="false"/>
          <w:smallCaps w:val="false"/>
        </w:rPr>
      </w:pPr>
      <w:r>
        <w:rPr>
          <w:caps w:val="false"/>
          <w:smallCaps w:val="false"/>
        </w:rPr>
        <w:t> </w:t>
      </w:r>
    </w:p>
    <w:tbl>
      <w:tblPr>
        <w:tblW w:w="2735" w:type="dxa"/>
        <w:jc w:val="left"/>
        <w:tblInd w:w="0" w:type="dxa"/>
        <w:tblLayout w:type="fixed"/>
        <w:tblCellMar>
          <w:top w:w="0" w:type="dxa"/>
          <w:left w:w="0" w:type="dxa"/>
          <w:bottom w:w="0" w:type="dxa"/>
          <w:right w:w="0" w:type="dxa"/>
        </w:tblCellMar>
      </w:tblPr>
      <w:tblGrid>
        <w:gridCol w:w="60"/>
        <w:gridCol w:w="2675"/>
      </w:tblGrid>
      <w:tr>
        <w:trPr/>
        <w:tc>
          <w:tcPr>
            <w:tcW w:w="60" w:type="dxa"/>
            <w:tcBorders/>
            <w:vAlign w:val="center"/>
          </w:tcPr>
          <w:p>
            <w:pPr>
              <w:pStyle w:val="TableContents"/>
              <w:bidi w:val="0"/>
              <w:spacing w:before="0" w:after="283"/>
              <w:jc w:val="left"/>
              <w:rPr/>
            </w:pPr>
            <w:r>
              <w:rPr/>
              <w:t> </w:t>
            </w:r>
          </w:p>
        </w:tc>
        <w:tc>
          <w:tcPr>
            <w:tcW w:w="2675" w:type="dxa"/>
            <w:tcBorders/>
            <w:vAlign w:val="center"/>
          </w:tcPr>
          <w:p>
            <w:pPr>
              <w:pStyle w:val="TableContents"/>
              <w:bidi w:val="0"/>
              <w:spacing w:before="0" w:after="283"/>
              <w:jc w:val="left"/>
              <w:rPr>
                <w:b/>
                <w:u w:val="single"/>
              </w:rPr>
            </w:pPr>
            <w:r>
              <w:rPr>
                <w:b/>
                <w:u w:val="single"/>
              </w:rPr>
              <w:t>/S/ ANGELA HU</w:t>
            </w:r>
          </w:p>
        </w:tc>
      </w:tr>
      <w:tr>
        <w:trPr/>
        <w:tc>
          <w:tcPr>
            <w:tcW w:w="60" w:type="dxa"/>
            <w:tcBorders/>
            <w:vAlign w:val="center"/>
          </w:tcPr>
          <w:p>
            <w:pPr>
              <w:pStyle w:val="TableContents"/>
              <w:bidi w:val="0"/>
              <w:spacing w:before="0" w:after="283"/>
              <w:jc w:val="left"/>
              <w:rPr/>
            </w:pPr>
            <w:r>
              <w:rPr/>
              <w:t> </w:t>
            </w:r>
          </w:p>
        </w:tc>
        <w:tc>
          <w:tcPr>
            <w:tcW w:w="2675" w:type="dxa"/>
            <w:tcBorders/>
            <w:vAlign w:val="center"/>
          </w:tcPr>
          <w:p>
            <w:pPr>
              <w:pStyle w:val="TableContents"/>
              <w:bidi w:val="0"/>
              <w:spacing w:before="0" w:after="283"/>
              <w:jc w:val="left"/>
              <w:rPr/>
            </w:pPr>
            <w:r>
              <w:rPr/>
              <w:t>Angela Hu</w:t>
            </w:r>
          </w:p>
        </w:tc>
      </w:tr>
      <w:tr>
        <w:trPr/>
        <w:tc>
          <w:tcPr>
            <w:tcW w:w="60" w:type="dxa"/>
            <w:tcBorders/>
            <w:vAlign w:val="center"/>
          </w:tcPr>
          <w:p>
            <w:pPr>
              <w:pStyle w:val="TableContents"/>
              <w:bidi w:val="0"/>
              <w:spacing w:before="0" w:after="283"/>
              <w:jc w:val="left"/>
              <w:rPr/>
            </w:pPr>
            <w:r>
              <w:rPr/>
              <w:t> </w:t>
            </w:r>
          </w:p>
        </w:tc>
        <w:tc>
          <w:tcPr>
            <w:tcW w:w="2675" w:type="dxa"/>
            <w:tcBorders/>
            <w:vAlign w:val="center"/>
          </w:tcPr>
          <w:p>
            <w:pPr>
              <w:pStyle w:val="TableContents"/>
              <w:bidi w:val="0"/>
              <w:spacing w:before="0" w:after="283"/>
              <w:jc w:val="left"/>
              <w:rPr/>
            </w:pPr>
            <w:r>
              <w:rPr/>
              <w:t>Director of Finance</w:t>
            </w:r>
          </w:p>
        </w:tc>
      </w:tr>
      <w:tr>
        <w:trPr/>
        <w:tc>
          <w:tcPr>
            <w:tcW w:w="60" w:type="dxa"/>
            <w:tcBorders/>
            <w:vAlign w:val="center"/>
          </w:tcPr>
          <w:p>
            <w:pPr>
              <w:pStyle w:val="TableContents"/>
              <w:bidi w:val="0"/>
              <w:spacing w:before="0" w:after="283"/>
              <w:jc w:val="left"/>
              <w:rPr/>
            </w:pPr>
            <w:r>
              <w:rPr/>
              <w:t> </w:t>
            </w:r>
          </w:p>
        </w:tc>
        <w:tc>
          <w:tcPr>
            <w:tcW w:w="2675" w:type="dxa"/>
            <w:tcBorders/>
            <w:vAlign w:val="center"/>
          </w:tcPr>
          <w:p>
            <w:pPr>
              <w:pStyle w:val="TableContents"/>
              <w:bidi w:val="0"/>
              <w:spacing w:before="0" w:after="283"/>
              <w:jc w:val="left"/>
              <w:rPr/>
            </w:pPr>
            <w:r>
              <w:rPr/>
              <w:t>(Principal Financial Officer)</w:t>
            </w:r>
          </w:p>
        </w:tc>
      </w:tr>
    </w:tbl>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22" w:name="ex_998585.htm"/>
      <w:bookmarkStart w:id="23" w:name="ksex_998585"/>
      <w:bookmarkEnd w:id="22"/>
      <w:bookmarkEnd w:id="23"/>
      <w:r>
        <w:rPr>
          <w:rFonts w:ascii="Times New Roman" w:hAnsi="Times New Roman"/>
          <w:b/>
          <w:caps w:val="false"/>
          <w:smallCaps w:val="false"/>
          <w:sz w:val="20"/>
        </w:rPr>
        <w:t>Exhibit 32.1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 xml:space="preserve">CERTIFICATION OF THE CHIEF EXECUTIVE OFFICER AND PRINCIPAL FINANCIAL OFFICER PURSUANT TO 18 U.S.C. SECTION 1350, AS ADOPTED PURSUANT TO </w:t>
      </w:r>
      <w:r>
        <w:rPr>
          <w:rFonts w:ascii="Times New Roman" w:hAnsi="Times New Roman"/>
          <w:caps w:val="false"/>
          <w:smallCaps w:val="false"/>
          <w:sz w:val="20"/>
        </w:rPr>
        <w:br/>
      </w:r>
      <w:r>
        <w:rPr>
          <w:rFonts w:ascii="Times New Roman" w:hAnsi="Times New Roman"/>
          <w:b/>
          <w:caps w:val="false"/>
          <w:smallCaps w:val="false"/>
          <w:sz w:val="20"/>
        </w:rPr>
        <w:t>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connection with the Quarterly Report of XBiotech Inc. on Form 10-Q for the period ended June 30, 2026 as filed with the Securities and Exchange Commission on the date hereof (the “Report”), I, Sushma Shivaswamy, Chief Executive Officer and President of the Company, certify, pursuant to 18 U.S.C. §1350, as adopted pursuant to §906 of the Sarbanes-Oxley Act of 2002, that to the best of my knowledge: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(1) The Report fully complies with the requirements of Section 13(a) or 15(d) of the Securities Exchange Act of 1934;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(2) The information contained in the Report fairly presents, in all material respects, the financial condition and results of operations of XBiotech Inc.</w:t>
      </w:r>
    </w:p>
    <w:p>
      <w:pPr>
        <w:pStyle w:val="TextBody"/>
        <w:bidi w:val="0"/>
        <w:spacing w:before="0" w:after="0"/>
        <w:ind w:left="0" w:right="0" w:hanging="0"/>
        <w:jc w:val="left"/>
        <w:rPr>
          <w:caps w:val="false"/>
          <w:smallCaps w:val="false"/>
        </w:rPr>
      </w:pPr>
      <w:r>
        <w:rPr>
          <w:caps w:val="false"/>
          <w:smallCaps w:val="false"/>
        </w:rPr>
        <w:t> </w:t>
      </w:r>
    </w:p>
    <w:tbl>
      <w:tblPr>
        <w:tblW w:w="5750" w:type="dxa"/>
        <w:jc w:val="left"/>
        <w:tblInd w:w="0" w:type="dxa"/>
        <w:tblLayout w:type="fixed"/>
        <w:tblCellMar>
          <w:top w:w="0" w:type="dxa"/>
          <w:left w:w="0" w:type="dxa"/>
          <w:bottom w:w="0" w:type="dxa"/>
          <w:right w:w="0" w:type="dxa"/>
        </w:tblCellMar>
      </w:tblPr>
      <w:tblGrid>
        <w:gridCol w:w="60"/>
        <w:gridCol w:w="5690"/>
      </w:tblGrid>
      <w:tr>
        <w:trPr/>
        <w:tc>
          <w:tcPr>
            <w:tcW w:w="60" w:type="dxa"/>
            <w:tcBorders/>
            <w:vAlign w:val="center"/>
          </w:tcPr>
          <w:p>
            <w:pPr>
              <w:pStyle w:val="TableContents"/>
              <w:bidi w:val="0"/>
              <w:spacing w:before="0" w:after="283"/>
              <w:jc w:val="left"/>
              <w:rPr/>
            </w:pPr>
            <w:r>
              <w:rPr/>
              <w:t> </w:t>
            </w:r>
          </w:p>
        </w:tc>
        <w:tc>
          <w:tcPr>
            <w:tcW w:w="5690" w:type="dxa"/>
            <w:tcBorders/>
            <w:vAlign w:val="center"/>
          </w:tcPr>
          <w:p>
            <w:pPr>
              <w:pStyle w:val="TableContents"/>
              <w:bidi w:val="0"/>
              <w:spacing w:before="0" w:after="283"/>
              <w:jc w:val="left"/>
              <w:rPr>
                <w:b/>
                <w:u w:val="single"/>
              </w:rPr>
            </w:pPr>
            <w:r>
              <w:rPr>
                <w:b/>
                <w:u w:val="single"/>
              </w:rPr>
              <w:t>/S/ SUSHMA SHIVASWAMY</w:t>
            </w:r>
          </w:p>
        </w:tc>
      </w:tr>
      <w:tr>
        <w:trPr/>
        <w:tc>
          <w:tcPr>
            <w:tcW w:w="60" w:type="dxa"/>
            <w:tcBorders/>
            <w:vAlign w:val="center"/>
          </w:tcPr>
          <w:p>
            <w:pPr>
              <w:pStyle w:val="TableContents"/>
              <w:bidi w:val="0"/>
              <w:spacing w:before="0" w:after="283"/>
              <w:jc w:val="left"/>
              <w:rPr/>
            </w:pPr>
            <w:r>
              <w:rPr/>
              <w:t> </w:t>
            </w:r>
          </w:p>
        </w:tc>
        <w:tc>
          <w:tcPr>
            <w:tcW w:w="5690" w:type="dxa"/>
            <w:tcBorders/>
            <w:vAlign w:val="center"/>
          </w:tcPr>
          <w:p>
            <w:pPr>
              <w:pStyle w:val="TableContents"/>
              <w:bidi w:val="0"/>
              <w:spacing w:before="0" w:after="283"/>
              <w:jc w:val="left"/>
              <w:rPr/>
            </w:pPr>
            <w:r>
              <w:rPr/>
              <w:t>Sushma Shivaswamy</w:t>
            </w:r>
          </w:p>
        </w:tc>
      </w:tr>
      <w:tr>
        <w:trPr/>
        <w:tc>
          <w:tcPr>
            <w:tcW w:w="60" w:type="dxa"/>
            <w:tcBorders/>
            <w:vAlign w:val="center"/>
          </w:tcPr>
          <w:p>
            <w:pPr>
              <w:pStyle w:val="TableContents"/>
              <w:bidi w:val="0"/>
              <w:spacing w:before="0" w:after="283"/>
              <w:jc w:val="left"/>
              <w:rPr/>
            </w:pPr>
            <w:r>
              <w:rPr/>
              <w:t> </w:t>
            </w:r>
          </w:p>
        </w:tc>
        <w:tc>
          <w:tcPr>
            <w:tcW w:w="5690" w:type="dxa"/>
            <w:tcBorders/>
            <w:vAlign w:val="center"/>
          </w:tcPr>
          <w:p>
            <w:pPr>
              <w:pStyle w:val="TableContents"/>
              <w:bidi w:val="0"/>
              <w:spacing w:before="0" w:after="283"/>
              <w:jc w:val="left"/>
              <w:rPr/>
            </w:pPr>
            <w:r>
              <w:rPr/>
              <w:t>Interim Chief Executive Officer and Chief Scientific Officer</w:t>
            </w:r>
          </w:p>
        </w:tc>
      </w:tr>
      <w:tr>
        <w:trPr/>
        <w:tc>
          <w:tcPr>
            <w:tcW w:w="60" w:type="dxa"/>
            <w:tcBorders/>
            <w:vAlign w:val="center"/>
          </w:tcPr>
          <w:p>
            <w:pPr>
              <w:pStyle w:val="TableContents"/>
              <w:bidi w:val="0"/>
              <w:spacing w:before="0" w:after="283"/>
              <w:jc w:val="left"/>
              <w:rPr/>
            </w:pPr>
            <w:r>
              <w:rPr/>
              <w:t> </w:t>
            </w:r>
          </w:p>
        </w:tc>
        <w:tc>
          <w:tcPr>
            <w:tcW w:w="5690" w:type="dxa"/>
            <w:tcBorders/>
            <w:vAlign w:val="center"/>
          </w:tcPr>
          <w:p>
            <w:pPr>
              <w:pStyle w:val="TableContents"/>
              <w:bidi w:val="0"/>
              <w:spacing w:before="0" w:after="283"/>
              <w:jc w:val="left"/>
              <w:rPr/>
            </w:pPr>
            <w:r>
              <w:rPr/>
              <w:t>(Principal Executive Officer)</w:t>
            </w:r>
          </w:p>
        </w:tc>
      </w:tr>
      <w:tr>
        <w:trPr/>
        <w:tc>
          <w:tcPr>
            <w:tcW w:w="60" w:type="dxa"/>
            <w:tcBorders/>
            <w:vAlign w:val="center"/>
          </w:tcPr>
          <w:p>
            <w:pPr>
              <w:pStyle w:val="TableContents"/>
              <w:bidi w:val="0"/>
              <w:spacing w:before="0" w:after="283"/>
              <w:jc w:val="left"/>
              <w:rPr/>
            </w:pPr>
            <w:r>
              <w:rPr/>
              <w:t> </w:t>
            </w:r>
          </w:p>
        </w:tc>
        <w:tc>
          <w:tcPr>
            <w:tcW w:w="5690" w:type="dxa"/>
            <w:tcBorders/>
            <w:vAlign w:val="center"/>
          </w:tcPr>
          <w:p>
            <w:pPr>
              <w:pStyle w:val="TableContents"/>
              <w:bidi w:val="0"/>
              <w:spacing w:before="0" w:after="283"/>
              <w:jc w:val="left"/>
              <w:rPr/>
            </w:pPr>
            <w:r>
              <w:rPr/>
              <w:t>Date: August 13, 2026</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In connection with the Quarterly Report of XBiotech Inc. on Form 10-Q for the period ended June 30, 2026, as filed with the Securities and Exchange Commission on the date hereof (the “Report”), I, Angela Hu, Director of Finance of the Company, certify, pursuant to 18 U.S.C. §1350, as adopted pursuant to §906 of the Sarbanes-Oxley Act of 2002, that to the best of my knowledge: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(1) The Report fully complies with the requirements of Section 13(a) or 15(d) of the Securities Exchange Act of 1934;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60"/>
        <w:jc w:val="left"/>
        <w:rPr>
          <w:rFonts w:ascii="Times New Roman" w:hAnsi="Times New Roman"/>
          <w:caps w:val="false"/>
          <w:smallCaps w:val="false"/>
          <w:sz w:val="20"/>
        </w:rPr>
      </w:pPr>
      <w:r>
        <w:rPr>
          <w:rFonts w:ascii="Times New Roman" w:hAnsi="Times New Roman"/>
          <w:caps w:val="false"/>
          <w:smallCaps w:val="false"/>
          <w:sz w:val="20"/>
        </w:rPr>
        <w:t>(2) The information contained in the Report fairly presents, in all material respects, the financial condition and results of operations of XBiotech Inc.</w:t>
      </w:r>
    </w:p>
    <w:p>
      <w:pPr>
        <w:pStyle w:val="TextBody"/>
        <w:bidi w:val="0"/>
        <w:spacing w:before="0" w:after="0"/>
        <w:ind w:left="0" w:right="0" w:hanging="0"/>
        <w:jc w:val="left"/>
        <w:rPr>
          <w:caps w:val="false"/>
          <w:smallCaps w:val="false"/>
        </w:rPr>
      </w:pPr>
      <w:r>
        <w:rPr>
          <w:caps w:val="false"/>
          <w:smallCaps w:val="false"/>
        </w:rPr>
        <w:t> </w:t>
      </w:r>
    </w:p>
    <w:tbl>
      <w:tblPr>
        <w:tblW w:w="2735" w:type="dxa"/>
        <w:jc w:val="left"/>
        <w:tblInd w:w="0" w:type="dxa"/>
        <w:tblLayout w:type="fixed"/>
        <w:tblCellMar>
          <w:top w:w="0" w:type="dxa"/>
          <w:left w:w="0" w:type="dxa"/>
          <w:bottom w:w="0" w:type="dxa"/>
          <w:right w:w="0" w:type="dxa"/>
        </w:tblCellMar>
      </w:tblPr>
      <w:tblGrid>
        <w:gridCol w:w="60"/>
        <w:gridCol w:w="2675"/>
      </w:tblGrid>
      <w:tr>
        <w:trPr/>
        <w:tc>
          <w:tcPr>
            <w:tcW w:w="60" w:type="dxa"/>
            <w:tcBorders/>
            <w:vAlign w:val="center"/>
          </w:tcPr>
          <w:p>
            <w:pPr>
              <w:pStyle w:val="TableContents"/>
              <w:bidi w:val="0"/>
              <w:spacing w:before="0" w:after="283"/>
              <w:jc w:val="left"/>
              <w:rPr/>
            </w:pPr>
            <w:r>
              <w:rPr/>
              <w:t> </w:t>
            </w:r>
          </w:p>
        </w:tc>
        <w:tc>
          <w:tcPr>
            <w:tcW w:w="2675" w:type="dxa"/>
            <w:tcBorders/>
            <w:vAlign w:val="center"/>
          </w:tcPr>
          <w:p>
            <w:pPr>
              <w:pStyle w:val="TableContents"/>
              <w:bidi w:val="0"/>
              <w:spacing w:before="0" w:after="283"/>
              <w:jc w:val="left"/>
              <w:rPr>
                <w:b/>
                <w:u w:val="single"/>
              </w:rPr>
            </w:pPr>
            <w:r>
              <w:rPr>
                <w:b/>
                <w:u w:val="single"/>
              </w:rPr>
              <w:t>/S/ ANGELA HU</w:t>
            </w:r>
          </w:p>
        </w:tc>
      </w:tr>
      <w:tr>
        <w:trPr/>
        <w:tc>
          <w:tcPr>
            <w:tcW w:w="60" w:type="dxa"/>
            <w:tcBorders/>
            <w:vAlign w:val="center"/>
          </w:tcPr>
          <w:p>
            <w:pPr>
              <w:pStyle w:val="TableContents"/>
              <w:bidi w:val="0"/>
              <w:spacing w:before="0" w:after="283"/>
              <w:jc w:val="left"/>
              <w:rPr/>
            </w:pPr>
            <w:r>
              <w:rPr/>
              <w:t> </w:t>
            </w:r>
          </w:p>
        </w:tc>
        <w:tc>
          <w:tcPr>
            <w:tcW w:w="2675" w:type="dxa"/>
            <w:tcBorders/>
            <w:vAlign w:val="center"/>
          </w:tcPr>
          <w:p>
            <w:pPr>
              <w:pStyle w:val="TableContents"/>
              <w:bidi w:val="0"/>
              <w:spacing w:before="0" w:after="283"/>
              <w:jc w:val="left"/>
              <w:rPr/>
            </w:pPr>
            <w:r>
              <w:rPr/>
              <w:t>Angela Hu</w:t>
            </w:r>
          </w:p>
        </w:tc>
      </w:tr>
      <w:tr>
        <w:trPr/>
        <w:tc>
          <w:tcPr>
            <w:tcW w:w="60" w:type="dxa"/>
            <w:tcBorders/>
            <w:vAlign w:val="center"/>
          </w:tcPr>
          <w:p>
            <w:pPr>
              <w:pStyle w:val="TableContents"/>
              <w:bidi w:val="0"/>
              <w:spacing w:before="0" w:after="283"/>
              <w:jc w:val="left"/>
              <w:rPr/>
            </w:pPr>
            <w:r>
              <w:rPr/>
              <w:t> </w:t>
            </w:r>
          </w:p>
        </w:tc>
        <w:tc>
          <w:tcPr>
            <w:tcW w:w="2675" w:type="dxa"/>
            <w:tcBorders/>
            <w:vAlign w:val="center"/>
          </w:tcPr>
          <w:p>
            <w:pPr>
              <w:pStyle w:val="TableContents"/>
              <w:bidi w:val="0"/>
              <w:spacing w:before="0" w:after="283"/>
              <w:jc w:val="left"/>
              <w:rPr/>
            </w:pPr>
            <w:r>
              <w:rPr/>
              <w:t>Director of Finance</w:t>
            </w:r>
          </w:p>
        </w:tc>
      </w:tr>
      <w:tr>
        <w:trPr/>
        <w:tc>
          <w:tcPr>
            <w:tcW w:w="60" w:type="dxa"/>
            <w:tcBorders/>
            <w:vAlign w:val="center"/>
          </w:tcPr>
          <w:p>
            <w:pPr>
              <w:pStyle w:val="TableContents"/>
              <w:bidi w:val="0"/>
              <w:spacing w:before="0" w:after="283"/>
              <w:jc w:val="left"/>
              <w:rPr/>
            </w:pPr>
            <w:r>
              <w:rPr/>
              <w:t> </w:t>
            </w:r>
          </w:p>
        </w:tc>
        <w:tc>
          <w:tcPr>
            <w:tcW w:w="2675" w:type="dxa"/>
            <w:tcBorders/>
            <w:vAlign w:val="center"/>
          </w:tcPr>
          <w:p>
            <w:pPr>
              <w:pStyle w:val="TableContents"/>
              <w:bidi w:val="0"/>
              <w:spacing w:before="0" w:after="283"/>
              <w:jc w:val="left"/>
              <w:rPr/>
            </w:pPr>
            <w:r>
              <w:rPr/>
              <w:t>(Principal Financial Officer)</w:t>
            </w:r>
          </w:p>
        </w:tc>
      </w:tr>
      <w:tr>
        <w:trPr/>
        <w:tc>
          <w:tcPr>
            <w:tcW w:w="60" w:type="dxa"/>
            <w:tcBorders/>
            <w:vAlign w:val="center"/>
          </w:tcPr>
          <w:p>
            <w:pPr>
              <w:pStyle w:val="TableContents"/>
              <w:bidi w:val="0"/>
              <w:spacing w:before="0" w:after="283"/>
              <w:jc w:val="left"/>
              <w:rPr/>
            </w:pPr>
            <w:r>
              <w:rPr/>
              <w:t> </w:t>
            </w:r>
          </w:p>
        </w:tc>
        <w:tc>
          <w:tcPr>
            <w:tcW w:w="2675" w:type="dxa"/>
            <w:tcBorders/>
            <w:vAlign w:val="center"/>
          </w:tcPr>
          <w:p>
            <w:pPr>
              <w:pStyle w:val="TableContents"/>
              <w:bidi w:val="0"/>
              <w:spacing w:before="0" w:after="283"/>
              <w:jc w:val="left"/>
              <w:rPr/>
            </w:pPr>
            <w:r>
              <w:rPr/>
              <w:t>Date: August 13, 2026</w:t>
            </w:r>
          </w:p>
        </w:tc>
      </w:tr>
    </w:tbl>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11180</Words>
  <Characters>61039</Characters>
  <CharactersWithSpaces>73087</CharactersWithSpaces>
  <Paragraphs>3433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