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18" w:lineRule="exact"/>
        <w:rPr>
          <w:sz w:val="24"/>
          <w:szCs w:val="24"/>
          <w:color w:val="auto"/>
        </w:rPr>
      </w:pPr>
    </w:p>
    <w:p>
      <w:pPr>
        <w:ind w:left="3900" w:right="3900" w:hanging="3892"/>
        <w:spacing w:after="0" w:line="598" w:lineRule="auto"/>
        <w:tabs>
          <w:tab w:leader="none" w:pos="66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2015</w:t>
      </w:r>
    </w:p>
    <w:p>
      <w:pPr>
        <w:spacing w:after="0" w:line="1"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spacing w:after="0"/>
        <w:tabs>
          <w:tab w:leader="none" w:pos="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Transition Report Pursuant to Section 13 or 15(d) of the Securities Exchange Act of 1934</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001-37437</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XBIOTECH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20"/>
          </w:cols>
          <w:pgMar w:left="240" w:top="206" w:right="239" w:bottom="1440" w:gutter="0" w:footer="0" w:header="0"/>
        </w:sectPr>
      </w:pPr>
    </w:p>
    <w:p>
      <w:pPr>
        <w:spacing w:after="0" w:line="232"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Canada</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6940" w:space="720"/>
            <w:col w:w="3760"/>
          </w:cols>
          <w:pgMar w:left="240" w:top="206"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8201 E. Riverside Drive, Bldg. 4, Suite 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TX 78744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offices)(Zip Code)</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(512) 386-2900</w:t>
      </w:r>
    </w:p>
    <w:p>
      <w:pPr>
        <w:sectPr>
          <w:pgSz w:w="11900" w:h="16838" w:orient="portrait"/>
          <w:cols w:equalWidth="0" w:num="1">
            <w:col w:w="11420"/>
          </w:cols>
          <w:pgMar w:left="240" w:top="206" w:right="239" w:bottom="1440" w:gutter="0" w:footer="0" w:header="0"/>
          <w:type w:val="continuous"/>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274" w:right="2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4">
            <w:col w:w="1620" w:space="720"/>
            <w:col w:w="4840" w:space="720"/>
            <w:col w:w="2220" w:space="720"/>
            <w:col w:w="560"/>
          </w:cols>
          <w:pgMar w:left="240" w:top="274" w:right="259" w:bottom="1440" w:gutter="0" w:footer="0" w:header="0"/>
          <w:type w:val="continuous"/>
        </w:sect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As of May 27, 2015, there were 31,984,963 shares of the Registrant's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the Amendment No. 2 on Form 10-Q/A to XBiotech Inc.'s quarterly report on Form 10-Q for the period ended March 31, 2015 (the "Report") filed with the Securities and Exchange Commission ("SEC") on May 27, 2015 and amended on May 29, 2015 (collectively, the "Form 10-Q") is solely to furnish Exhibit 101 to the Form 10-Q in accordance with Rule 405 of Regulation S-T.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other changes have been made to the Form 10-Q. This Amendment No. 2 speaks as of the original filing date of the Form 10-Q, does not reflect events that may have occurred subsequent to the original filing date and does not beyond the amendments discussed above modify or update in any way disclosures made in the original Form 10-Q.</w:t>
      </w:r>
    </w:p>
    <w:p>
      <w:pPr>
        <w:spacing w:after="0" w:line="208" w:lineRule="exact"/>
        <w:rPr>
          <w:sz w:val="20"/>
          <w:szCs w:val="20"/>
          <w:color w:val="auto"/>
        </w:rPr>
      </w:pPr>
    </w:p>
    <w:p>
      <w:pPr>
        <w:jc w:val="both"/>
        <w:ind w:right="20" w:firstLine="45"/>
        <w:spacing w:after="0" w:line="264" w:lineRule="auto"/>
        <w:rPr>
          <w:sz w:val="20"/>
          <w:szCs w:val="20"/>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not deemed filed for purposes of Section 18 of the Securities Act of 1934, as amended, and otherwise are not subject to liability under those sections.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10460" w:type="dxa"/>
            <w:vAlign w:val="bottom"/>
            <w:gridSpan w:val="3"/>
          </w:tcPr>
          <w:p>
            <w:pPr>
              <w:ind w:left="6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438"/>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w w:val="93"/>
              </w:rPr>
              <w:t>Certification of Principal Executive Officer Required Under Rule 13a-14(a) and 15d-14(a) of the Securities Exchange Act of 1934, as</w:t>
            </w:r>
          </w:p>
        </w:tc>
      </w:tr>
      <w:tr>
        <w:trPr>
          <w:trHeight w:val="230"/>
        </w:trPr>
        <w:tc>
          <w:tcPr>
            <w:tcW w:w="880" w:type="dxa"/>
            <w:vAlign w:val="bottom"/>
          </w:tcPr>
          <w:p>
            <w:pPr>
              <w:spacing w:after="0"/>
              <w:rPr>
                <w:sz w:val="20"/>
                <w:szCs w:val="20"/>
                <w:color w:val="auto"/>
              </w:rPr>
            </w:pP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amended</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w w:val="94"/>
              </w:rPr>
              <w:t>Certification of Principal Financial Officer Required Under Rule 13a-14(a) and 15d-14(a) of the Securities Exchange Act of 1934, as</w:t>
            </w:r>
          </w:p>
        </w:tc>
      </w:tr>
      <w:tr>
        <w:trPr>
          <w:trHeight w:val="230"/>
        </w:trPr>
        <w:tc>
          <w:tcPr>
            <w:tcW w:w="880" w:type="dxa"/>
            <w:vAlign w:val="bottom"/>
          </w:tcPr>
          <w:p>
            <w:pPr>
              <w:spacing w:after="0"/>
              <w:rPr>
                <w:sz w:val="20"/>
                <w:szCs w:val="20"/>
                <w:color w:val="auto"/>
              </w:rPr>
            </w:pP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amended</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w w:val="91"/>
              </w:rPr>
              <w:t>Certification of Principal Executive Officer Required Under Rule 13a-14(b) of the Securities Exchange Act of 1934, as amended, and 18</w:t>
            </w:r>
          </w:p>
        </w:tc>
      </w:tr>
      <w:tr>
        <w:trPr>
          <w:trHeight w:val="230"/>
        </w:trPr>
        <w:tc>
          <w:tcPr>
            <w:tcW w:w="880" w:type="dxa"/>
            <w:vAlign w:val="bottom"/>
          </w:tcPr>
          <w:p>
            <w:pPr>
              <w:spacing w:after="0"/>
              <w:rPr>
                <w:sz w:val="20"/>
                <w:szCs w:val="20"/>
                <w:color w:val="auto"/>
              </w:rPr>
            </w:pP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U.S.C. §1350.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w w:val="91"/>
              </w:rPr>
              <w:t>Certification of Principal Financial Officer Required Under Rule 13a-14(b) of the Securities Exchange Act of 1934, as amended, and 18</w:t>
            </w:r>
          </w:p>
        </w:tc>
      </w:tr>
      <w:tr>
        <w:trPr>
          <w:trHeight w:val="230"/>
        </w:trPr>
        <w:tc>
          <w:tcPr>
            <w:tcW w:w="880" w:type="dxa"/>
            <w:vAlign w:val="bottom"/>
          </w:tcPr>
          <w:p>
            <w:pPr>
              <w:spacing w:after="0"/>
              <w:rPr>
                <w:sz w:val="20"/>
                <w:szCs w:val="20"/>
                <w:color w:val="auto"/>
              </w:rPr>
            </w:pP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U.S.C. §1350.</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XBRL Instance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w w:val="98"/>
              </w:rPr>
              <w:t>101.SCH**</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w w:val="99"/>
              </w:rPr>
              <w:t>101.PRE**</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*Previously filed or furnished as exhibits to the Company's Quarterly Report on Form 10-Q for the quarter ended March 31, 2015 filed with the SEC on May 27, 2015, as amended on May 29,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 w:name="page4"/>
    <w:bookmarkEnd w:id="3"/>
    <w:p>
      <w:pPr>
        <w:jc w:val="center"/>
        <w:ind w:left="50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Amendment No. 2 to its Quarterly Report on Form 10-Q/A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Arial" w:cs="Arial" w:eastAsia="Arial" w:hAnsi="Arial"/>
                <w:sz w:val="18"/>
                <w:szCs w:val="18"/>
                <w:color w:val="auto"/>
              </w:rPr>
              <w:t>Date: June 18, 2015</w:t>
            </w:r>
          </w:p>
        </w:tc>
        <w:tc>
          <w:tcPr>
            <w:tcW w:w="7400" w:type="dxa"/>
            <w:vAlign w:val="bottom"/>
            <w:gridSpan w:val="2"/>
          </w:tcPr>
          <w:p>
            <w:pPr>
              <w:ind w:left="2020"/>
              <w:spacing w:after="0"/>
              <w:rPr>
                <w:sz w:val="20"/>
                <w:szCs w:val="20"/>
                <w:color w:val="auto"/>
              </w:rPr>
            </w:pPr>
            <w:r>
              <w:rPr>
                <w:rFonts w:ascii="Arial" w:cs="Arial" w:eastAsia="Arial" w:hAnsi="Arial"/>
                <w:sz w:val="18"/>
                <w:szCs w:val="18"/>
                <w:b w:val="1"/>
                <w:bCs w:val="1"/>
                <w:color w:val="auto"/>
              </w:rPr>
              <w:t>XBIOTECH INC.</w:t>
            </w:r>
          </w:p>
        </w:tc>
      </w:tr>
      <w:tr>
        <w:trPr>
          <w:trHeight w:val="648"/>
        </w:trPr>
        <w:tc>
          <w:tcPr>
            <w:tcW w:w="3520" w:type="dxa"/>
            <w:vAlign w:val="bottom"/>
          </w:tcPr>
          <w:p>
            <w:pPr>
              <w:spacing w:after="0"/>
              <w:rPr>
                <w:sz w:val="24"/>
                <w:szCs w:val="24"/>
                <w:color w:val="auto"/>
              </w:rPr>
            </w:pPr>
          </w:p>
        </w:tc>
        <w:tc>
          <w:tcPr>
            <w:tcW w:w="2400" w:type="dxa"/>
            <w:vAlign w:val="bottom"/>
          </w:tcPr>
          <w:p>
            <w:pPr>
              <w:ind w:left="20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John Simard</w:t>
            </w:r>
          </w:p>
        </w:tc>
      </w:tr>
      <w:tr>
        <w:trPr>
          <w:trHeight w:val="195"/>
        </w:trPr>
        <w:tc>
          <w:tcPr>
            <w:tcW w:w="35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00" w:type="dxa"/>
            <w:vAlign w:val="bottom"/>
          </w:tcPr>
          <w:p>
            <w:pPr>
              <w:ind w:left="480"/>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3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99"/>
              </w:rPr>
              <w:t>President, Chief Executive Officer and Director (</w:t>
            </w:r>
            <w:r>
              <w:rPr>
                <w:rFonts w:ascii="Arial" w:cs="Arial" w:eastAsia="Arial" w:hAnsi="Arial"/>
                <w:sz w:val="18"/>
                <w:szCs w:val="18"/>
                <w:i w:val="1"/>
                <w:iCs w:val="1"/>
                <w:color w:val="auto"/>
                <w:w w:val="99"/>
              </w:rPr>
              <w:t>Principal</w:t>
            </w:r>
          </w:p>
        </w:tc>
      </w:tr>
      <w:tr>
        <w:trPr>
          <w:trHeight w:val="230"/>
        </w:trPr>
        <w:tc>
          <w:tcPr>
            <w:tcW w:w="35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00" w:type="dxa"/>
            <w:vAlign w:val="bottom"/>
          </w:tcPr>
          <w:p>
            <w:pPr>
              <w:ind w:left="480"/>
              <w:spacing w:after="0"/>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June 18, 2015</w:t>
            </w:r>
          </w:p>
        </w:tc>
        <w:tc>
          <w:tcPr>
            <w:tcW w:w="2400" w:type="dxa"/>
            <w:vAlign w:val="bottom"/>
          </w:tcPr>
          <w:p>
            <w:pPr>
              <w:ind w:left="20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Queena Han</w:t>
            </w:r>
          </w:p>
        </w:tc>
      </w:tr>
      <w:tr>
        <w:trPr>
          <w:trHeight w:val="195"/>
        </w:trPr>
        <w:tc>
          <w:tcPr>
            <w:tcW w:w="35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00" w:type="dxa"/>
            <w:vAlign w:val="bottom"/>
          </w:tcPr>
          <w:p>
            <w:pPr>
              <w:ind w:left="480"/>
              <w:spacing w:after="0" w:line="195" w:lineRule="exact"/>
              <w:rPr>
                <w:sz w:val="20"/>
                <w:szCs w:val="20"/>
                <w:color w:val="auto"/>
              </w:rPr>
            </w:pPr>
            <w:r>
              <w:rPr>
                <w:rFonts w:ascii="Arial" w:cs="Arial" w:eastAsia="Arial" w:hAnsi="Arial"/>
                <w:sz w:val="18"/>
                <w:szCs w:val="18"/>
                <w:color w:val="auto"/>
              </w:rPr>
              <w:t>Queena Han</w:t>
            </w:r>
          </w:p>
        </w:tc>
      </w:tr>
      <w:tr>
        <w:trPr>
          <w:trHeight w:val="230"/>
        </w:trPr>
        <w:tc>
          <w:tcPr>
            <w:tcW w:w="35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w w:val="89"/>
              </w:rPr>
              <w:t>Vice President, Finance and Human Resources, and Secretary</w:t>
            </w:r>
          </w:p>
        </w:tc>
      </w:tr>
    </w:tbl>
    <w:p>
      <w:pPr>
        <w:ind w:left="6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2233295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960" w:type="dxa"/>
            <w:vAlign w:val="bottom"/>
          </w:tcPr>
          <w:p>
            <w:pPr>
              <w:ind w:left="288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10460" w:type="dxa"/>
            <w:vAlign w:val="bottom"/>
            <w:gridSpan w:val="3"/>
          </w:tcPr>
          <w:p>
            <w:pPr>
              <w:ind w:left="6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465"/>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w w:val="93"/>
              </w:rPr>
              <w:t>Certification of Principal Executive Officer Required Under Rule 13a-14(a) and 15d-14(a) of the Securities Exchange Act of 1934, as</w:t>
            </w:r>
          </w:p>
        </w:tc>
      </w:tr>
      <w:tr>
        <w:trPr>
          <w:trHeight w:val="230"/>
        </w:trPr>
        <w:tc>
          <w:tcPr>
            <w:tcW w:w="880" w:type="dxa"/>
            <w:vAlign w:val="bottom"/>
          </w:tcPr>
          <w:p>
            <w:pPr>
              <w:spacing w:after="0"/>
              <w:rPr>
                <w:sz w:val="20"/>
                <w:szCs w:val="20"/>
                <w:color w:val="auto"/>
              </w:rPr>
            </w:pP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amended.</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w w:val="94"/>
              </w:rPr>
              <w:t>Certification of Principal Financial Officer Required Under Rule 13a-14(a) and 15d-14(a) of the Securities Exchange Act of 1934, as</w:t>
            </w:r>
          </w:p>
        </w:tc>
      </w:tr>
      <w:tr>
        <w:trPr>
          <w:trHeight w:val="230"/>
        </w:trPr>
        <w:tc>
          <w:tcPr>
            <w:tcW w:w="880" w:type="dxa"/>
            <w:vAlign w:val="bottom"/>
          </w:tcPr>
          <w:p>
            <w:pPr>
              <w:spacing w:after="0"/>
              <w:rPr>
                <w:sz w:val="20"/>
                <w:szCs w:val="20"/>
                <w:color w:val="auto"/>
              </w:rPr>
            </w:pP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amended.</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w w:val="91"/>
              </w:rPr>
              <w:t>Certification of Principal Executive Officer Required Under Rule 13a-14(b) of the Securities Exchange Act of 1934, as amended, and 18</w:t>
            </w:r>
          </w:p>
        </w:tc>
      </w:tr>
      <w:tr>
        <w:trPr>
          <w:trHeight w:val="230"/>
        </w:trPr>
        <w:tc>
          <w:tcPr>
            <w:tcW w:w="880" w:type="dxa"/>
            <w:vAlign w:val="bottom"/>
          </w:tcPr>
          <w:p>
            <w:pPr>
              <w:spacing w:after="0"/>
              <w:rPr>
                <w:sz w:val="20"/>
                <w:szCs w:val="20"/>
                <w:color w:val="auto"/>
              </w:rPr>
            </w:pP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U.S.C. §1350.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w w:val="91"/>
              </w:rPr>
              <w:t>Certification of Principal Financial Officer Required Under Rule 13a-14(b) of the Securities Exchange Act of 1934, as amended, and 18</w:t>
            </w:r>
          </w:p>
        </w:tc>
      </w:tr>
      <w:tr>
        <w:trPr>
          <w:trHeight w:val="230"/>
        </w:trPr>
        <w:tc>
          <w:tcPr>
            <w:tcW w:w="880" w:type="dxa"/>
            <w:vAlign w:val="bottom"/>
          </w:tcPr>
          <w:p>
            <w:pPr>
              <w:spacing w:after="0"/>
              <w:rPr>
                <w:sz w:val="20"/>
                <w:szCs w:val="20"/>
                <w:color w:val="auto"/>
              </w:rPr>
            </w:pP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U.S.C. §1350.</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XBRL Instance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w w:val="98"/>
              </w:rPr>
              <w:t>101.SCH**</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w w:val="99"/>
              </w:rPr>
              <w:t>101.PRE**</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*Previously filed or furnished as exhibits to the Company's Quarterly Report on Form 10-Q for the quarter ended March 31, 2015 filed with the SEC on May 27, 2015, as amended on May 29,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sectPr>
      <w:pgSz w:w="11900" w:h="16838" w:orient="portrait"/>
      <w:cols w:equalWidth="0" w:num="1">
        <w:col w:w="11340"/>
      </w:cols>
      <w:pgMar w:left="240"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2019-12-09T05:48:11Z</dcterms:created>
  <dcterms:modified xsi:type="dcterms:W3CDTF">2019-12-09T05:48:11Z</dcterms:modified>
</cp:coreProperties>
</file>