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ind w:left="3900" w:right="3420" w:hanging="3892"/>
        <w:spacing w:after="0" w:line="563" w:lineRule="auto"/>
        <w:tabs>
          <w:tab w:leader="none" w:pos="58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320" w:right="354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206" w:right="719" w:bottom="1440" w:gutter="0" w:footer="0" w:header="0"/>
        </w:sectPr>
      </w:pPr>
    </w:p>
    <w:p>
      <w:pPr>
        <w:spacing w:after="0" w:line="20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3560"/>
          </w:cols>
          <w:pgMar w:left="240" w:top="206" w:right="719" w:bottom="1440" w:gutter="0" w:footer="0" w:header="0"/>
          <w:type w:val="continuous"/>
        </w:sectPr>
      </w:pPr>
    </w:p>
    <w:p>
      <w:pPr>
        <w:spacing w:after="0" w:line="3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5217 Winnebago Ln, Austin, TX 78744</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40"/>
          </w:cols>
          <w:pgMar w:left="240" w:top="206" w:right="719" w:bottom="1440" w:gutter="0" w:footer="0" w:header="0"/>
          <w:type w:val="continuous"/>
        </w:sectPr>
      </w:pPr>
    </w:p>
    <w:bookmarkStart w:id="1" w:name="page2"/>
    <w:bookmarkEnd w:id="1"/>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XBIT</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May 9, 2019, there were 36,113,175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40" w:type="dxa"/>
            <w:vAlign w:val="bottom"/>
            <w:gridSpan w:val="14"/>
          </w:tcPr>
          <w:p>
            <w:pPr>
              <w:jc w:val="center"/>
              <w:ind w:right="350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760" w:type="dxa"/>
            <w:vAlign w:val="bottom"/>
            <w:gridSpan w:val="7"/>
          </w:tcPr>
          <w:p>
            <w:pPr>
              <w:spacing w:after="0"/>
              <w:rPr>
                <w:sz w:val="20"/>
                <w:szCs w:val="20"/>
                <w:color w:val="auto"/>
              </w:rPr>
            </w:pPr>
            <w:r>
              <w:rPr>
                <w:rFonts w:ascii="Arial" w:cs="Arial" w:eastAsia="Arial" w:hAnsi="Arial"/>
                <w:sz w:val="18"/>
                <w:szCs w:val="18"/>
                <w:color w:val="auto"/>
                <w:w w:val="98"/>
              </w:rPr>
              <w:t>Consolidated Financial Statements</w:t>
            </w:r>
          </w:p>
        </w:tc>
        <w:tc>
          <w:tcPr>
            <w:tcW w:w="3160" w:type="dxa"/>
            <w:vAlign w:val="bottom"/>
            <w:tcBorders>
              <w:top w:val="single" w:sz="8" w:color="auto"/>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Balance Sheets as of March 31, 2019 (unaudited) and December 31, 2018</w:t>
              </w:r>
            </w:hyperlink>
          </w:p>
        </w:tc>
        <w:tc>
          <w:tcPr>
            <w:tcW w:w="3500" w:type="dxa"/>
            <w:vAlign w:val="bottom"/>
            <w:gridSpan w:val="6"/>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Operations for the Three Months Ended March 31, 2019 (unaudited) and 2018 (unaudited)</w:t>
              </w:r>
            </w:hyperlink>
          </w:p>
        </w:tc>
        <w:tc>
          <w:tcPr>
            <w:tcW w:w="130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1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Borders>
              <w:top w:val="single" w:sz="8" w:color="0000EE"/>
            </w:tcBorders>
            <w:gridSpan w:val="1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Comprehensive Loss for the Three Months Ended March 31, 2019 (unaudited) and 2018</w:t>
              </w:r>
            </w:hyperlink>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w:t>
              </w:r>
            </w:hyperlink>
          </w:p>
        </w:tc>
        <w:tc>
          <w:tcPr>
            <w:tcW w:w="7560" w:type="dxa"/>
            <w:vAlign w:val="bottom"/>
            <w:tcBorders>
              <w:top w:val="single" w:sz="8" w:color="0000EE"/>
            </w:tcBorders>
            <w:gridSpan w:val="15"/>
          </w:tcPr>
          <w:p>
            <w:pPr>
              <w:spacing w:after="0"/>
              <w:rPr>
                <w:sz w:val="17"/>
                <w:szCs w:val="17"/>
                <w:color w:val="auto"/>
              </w:rPr>
            </w:pPr>
          </w:p>
        </w:tc>
        <w:tc>
          <w:tcPr>
            <w:tcW w:w="146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Shareholders’ Equity for the Three Months Ended March 31,2019 and 2018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 for the Three Months Ended March 31, 2019 (unaudited) and 2018 (unaudited)</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12"/>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0" w:type="dxa"/>
            <w:vAlign w:val="bottom"/>
            <w:tcBorders>
              <w:top w:val="single" w:sz="8" w:color="0000EE"/>
            </w:tcBorders>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(unaudited)</w:t>
              </w:r>
            </w:hyperlink>
          </w:p>
        </w:tc>
        <w:tc>
          <w:tcPr>
            <w:tcW w:w="12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24"/>
                <w:szCs w:val="24"/>
                <w:color w:val="auto"/>
              </w:rPr>
            </w:pPr>
          </w:p>
        </w:tc>
        <w:tc>
          <w:tcPr>
            <w:tcW w:w="3400" w:type="dxa"/>
            <w:vAlign w:val="bottom"/>
            <w:gridSpan w:val="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98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412"/>
        </w:trPr>
        <w:tc>
          <w:tcPr>
            <w:tcW w:w="5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gridSpan w:val="12"/>
          </w:tcPr>
          <w:p>
            <w:pPr>
              <w:jc w:val="center"/>
              <w:ind w:right="410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II—OTHER INFORMATION</w:t>
              </w:r>
            </w:hyperlink>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860" w:type="dxa"/>
            <w:vAlign w:val="bottom"/>
            <w:gridSpan w:val="2"/>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1980" w:type="dxa"/>
            <w:vAlign w:val="bottom"/>
            <w:gridSpan w:val="5"/>
          </w:tcPr>
          <w:p>
            <w:pPr>
              <w:spacing w:after="0"/>
              <w:rPr>
                <w:sz w:val="24"/>
                <w:szCs w:val="24"/>
                <w:color w:val="auto"/>
              </w:rPr>
            </w:pPr>
          </w:p>
        </w:tc>
        <w:tc>
          <w:tcPr>
            <w:tcW w:w="2860" w:type="dxa"/>
            <w:vAlign w:val="bottom"/>
            <w:tcBorders>
              <w:top w:val="single" w:sz="8" w:color="0000EE"/>
            </w:tcBorders>
            <w:gridSpan w:val="4"/>
          </w:tcPr>
          <w:p>
            <w:pPr>
              <w:spacing w:after="0"/>
              <w:rPr>
                <w:sz w:val="24"/>
                <w:szCs w:val="24"/>
                <w:color w:val="auto"/>
              </w:rPr>
            </w:pPr>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860" w:type="dxa"/>
            <w:vAlign w:val="bottom"/>
            <w:gridSpan w:val="2"/>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550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86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54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5.</w:t>
              </w:r>
            </w:hyperlink>
          </w:p>
        </w:tc>
        <w:tc>
          <w:tcPr>
            <w:tcW w:w="860" w:type="dxa"/>
            <w:vAlign w:val="bottom"/>
            <w:gridSpan w:val="2"/>
          </w:tcPr>
          <w:p>
            <w:pPr>
              <w:spacing w:after="0"/>
              <w:rPr>
                <w:sz w:val="24"/>
                <w:szCs w:val="24"/>
                <w:color w:val="auto"/>
              </w:rPr>
            </w:pPr>
          </w:p>
        </w:tc>
        <w:tc>
          <w:tcPr>
            <w:tcW w:w="98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860" w:type="dxa"/>
            <w:vAlign w:val="bottom"/>
            <w:gridSpan w:val="2"/>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540" w:type="dxa"/>
            <w:vAlign w:val="bottom"/>
            <w:gridSpan w:val="1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5"/>
        </w:trPr>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gridSpan w:val="12"/>
          </w:tcPr>
          <w:p>
            <w:pPr>
              <w:jc w:val="center"/>
              <w:ind w:left="2810"/>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5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bermekimab in the United States, Europe and elsewhere;</w:t>
      </w:r>
    </w:p>
    <w:p>
      <w:pPr>
        <w:spacing w:after="0" w:line="225" w:lineRule="exact"/>
        <w:rPr>
          <w:rFonts w:ascii="Arial" w:cs="Arial" w:eastAsia="Arial" w:hAnsi="Arial"/>
          <w:sz w:val="18"/>
          <w:szCs w:val="18"/>
          <w:color w:val="auto"/>
        </w:rPr>
      </w:pPr>
    </w:p>
    <w:p>
      <w:pPr>
        <w:ind w:left="88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bermekimab and other product candidates;</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bermekimab in the United States, Europe and elsewhere;</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248"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bermekimab and future products, if any;</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2018 filed with the SEC on March 14, 2019, as amended by Amendment No. 1 filed with the SEC on March 15, 2019,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2019</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12,019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12,982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26,842</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39,824</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1,861</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980</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2,841</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36,090,125 and 35,899,772 shares outstanding at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March 31, 2019 and December 31, 2018, 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280,664</w:t>
            </w:r>
          </w:p>
        </w:tc>
        <w:tc>
          <w:tcPr>
            <w:tcW w:w="5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(243,564)</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36,983</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39,824</w:t>
            </w:r>
          </w:p>
        </w:tc>
        <w:tc>
          <w:tcPr>
            <w:tcW w:w="5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640"/>
              <w:spacing w:after="0"/>
              <w:rPr>
                <w:sz w:val="20"/>
                <w:szCs w:val="20"/>
                <w:color w:val="auto"/>
              </w:rPr>
            </w:pPr>
            <w:r>
              <w:rPr>
                <w:rFonts w:ascii="Arial" w:cs="Arial" w:eastAsia="Arial" w:hAnsi="Arial"/>
                <w:sz w:val="18"/>
                <w:szCs w:val="18"/>
                <w:i w:val="1"/>
                <w:iCs w:val="1"/>
                <w:color w:val="auto"/>
              </w:rPr>
              <w:t>See accompanying notes.</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4,527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1,278</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5,805</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exchange gain (loss)</w:t>
            </w:r>
          </w:p>
        </w:tc>
        <w:tc>
          <w:tcPr>
            <w:tcW w:w="1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w:t>
            </w:r>
          </w:p>
        </w:tc>
        <w:tc>
          <w:tcPr>
            <w:tcW w:w="1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9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3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35,977,422</w:t>
            </w:r>
          </w:p>
        </w:tc>
        <w:tc>
          <w:tcPr>
            <w:tcW w:w="3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35,447,304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2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279,353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41,398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Collection of stock subscription receivable</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570</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36,090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280,664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36,983</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10"/>
        </w:trPr>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Common</w:t>
            </w:r>
          </w:p>
        </w:tc>
        <w:tc>
          <w:tcPr>
            <w:tcW w:w="2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Deficit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35,439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277,492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35,520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277,803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(220,631)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56,410</w:t>
            </w:r>
          </w:p>
        </w:tc>
      </w:tr>
      <w:tr>
        <w:trPr>
          <w:trHeight w:val="20"/>
        </w:trPr>
        <w:tc>
          <w:tcPr>
            <w:tcW w:w="4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(5,864)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subscription receivable</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12,019</w:t>
            </w: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300" w:firstLine="8"/>
        <w:spacing w:after="0" w:line="503" w:lineRule="auto"/>
        <w:tabs>
          <w:tab w:leader="none" w:pos="70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March 31, 2019 and December 31, 2018, the results of its operations and comprehensive loss for the three month periods ended March 31, 2019 and 2018, and the cash flows for the three month periods ended March 31,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These nonrefundable advance payments are recorded within other prepaid expenses and other current assets in the consolidated balance sheets. The capitalized amounts are expensed as the related goods are delivered or the services are performed.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2019 and 2018 was included in the following line items on the Consolidated Statements of Operations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6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r>
      <w:tr>
        <w:trPr>
          <w:trHeight w:val="230"/>
        </w:trPr>
        <w:tc>
          <w:tcPr>
            <w:tcW w:w="7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9"/>
                <w:szCs w:val="19"/>
                <w:color w:val="auto"/>
              </w:rPr>
            </w:pPr>
          </w:p>
        </w:tc>
      </w:tr>
      <w:tr>
        <w:trPr>
          <w:trHeight w:val="234"/>
        </w:trPr>
        <w:tc>
          <w:tcPr>
            <w:tcW w:w="72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w:t>
            </w:r>
          </w:p>
        </w:tc>
        <w:tc>
          <w:tcPr>
            <w:tcW w:w="11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0"/>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275</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23"/>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570</w:t>
            </w:r>
          </w:p>
        </w:tc>
        <w:tc>
          <w:tcPr>
            <w:tcW w:w="11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82%</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2.71%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tcPr>
          <w:p>
            <w:pPr>
              <w:jc w:val="right"/>
              <w:spacing w:after="0"/>
              <w:rPr>
                <w:sz w:val="20"/>
                <w:szCs w:val="20"/>
                <w:color w:val="auto"/>
              </w:rPr>
            </w:pPr>
            <w:r>
              <w:rPr>
                <w:rFonts w:ascii="Arial" w:cs="Arial" w:eastAsia="Arial" w:hAnsi="Arial"/>
                <w:sz w:val="18"/>
                <w:szCs w:val="18"/>
                <w:color w:val="auto"/>
              </w:rPr>
              <w:t>5.75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40"/>
              <w:spacing w:after="0"/>
              <w:rPr>
                <w:sz w:val="20"/>
                <w:szCs w:val="20"/>
                <w:color w:val="auto"/>
              </w:rPr>
            </w:pPr>
            <w:r>
              <w:rPr>
                <w:rFonts w:ascii="Arial" w:cs="Arial" w:eastAsia="Arial" w:hAnsi="Arial"/>
                <w:sz w:val="18"/>
                <w:szCs w:val="18"/>
                <w:color w:val="auto"/>
              </w:rPr>
              <w:t>10</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$3.02</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56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At March 31, 2019 and December 31, 2018,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March 31, 2019 and December 31, 2018,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80"/>
          </w:cols>
          <w:pgMar w:left="240" w:top="688" w:right="27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2019.</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(“ASC 740”),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ASC 740 clarifies the accounting for uncertainty in income taxes recognized in the financial statements and provides that a tax benefit from an uncertain tax position may be recognized when it is more likely than not that the position will be sustained upon examination, including resolutions of any related appeals or litigation processes, based on the technical merits. This interpretation also provides guidance on measurement, derecognition, classification, interest and penalties, accounting in interim periods and disclosure. The Company’s policy for recording interest and penalties associated with uncertain tax positions is to record such items as a component of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does not have a cumulative adjustment impacting retained earnings. Adoption of the lease standard does not have a material impact on the Company’s consolidated financial statements.</w:t>
      </w:r>
    </w:p>
    <w:p>
      <w:pPr>
        <w:spacing w:after="0" w:line="165"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December 31, 2019 and 2018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March 31, 2019</w:t>
            </w:r>
          </w:p>
        </w:tc>
        <w:tc>
          <w:tcPr>
            <w:tcW w:w="160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4,567</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Winnebago building</w:t>
            </w:r>
          </w:p>
        </w:tc>
        <w:tc>
          <w:tcPr>
            <w:tcW w:w="10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19,810</w:t>
            </w:r>
          </w:p>
        </w:tc>
        <w:tc>
          <w:tcPr>
            <w:tcW w:w="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2,465</w:t>
            </w: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26,842</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79"/>
              </w:rPr>
              <w:t>4.</w:t>
            </w:r>
          </w:p>
        </w:tc>
        <w:tc>
          <w:tcPr>
            <w:tcW w:w="260" w:type="dxa"/>
            <w:vAlign w:val="bottom"/>
          </w:tcPr>
          <w:p>
            <w:pPr>
              <w:spacing w:after="0" w:line="20" w:lineRule="exact"/>
              <w:rPr>
                <w:sz w:val="1"/>
                <w:szCs w:val="1"/>
                <w:color w:val="auto"/>
              </w:rPr>
            </w:pPr>
          </w:p>
        </w:tc>
        <w:tc>
          <w:tcPr>
            <w:tcW w:w="7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From January through December 2018, 161 thousand shares of common stock were issued upon the exercise of stock options at a price of $2.50 per share for a total of $401 thousand, of which $200 thousand is subscription receivable.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March 2019, 190 thousand shares of common stock were issued upon the exercise of stock options at a price of $2.5 to $10.00 per share for a total of $643 thousand.</w:t>
      </w:r>
    </w:p>
    <w:p>
      <w:pPr>
        <w:spacing w:after="0" w:line="166"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ind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4"/>
              </w:rPr>
              <w:t>Weighted-Average</w:t>
            </w:r>
          </w:p>
        </w:tc>
      </w:tr>
      <w:tr>
        <w:trPr>
          <w:trHeight w:val="234"/>
        </w:trPr>
        <w:tc>
          <w:tcPr>
            <w:tcW w:w="54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Options</w:t>
            </w: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5,535,439</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$21.99</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215,000</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9.84</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(190,903)</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0"/>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Forfeitures</w:t>
            </w: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(126,875)</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14.18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2019</w:t>
            </w: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5,432,661</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$21.99</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0"/>
        </w:trPr>
        <w:tc>
          <w:tcPr>
            <w:tcW w:w="5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2019, there was approximately $3.2 million of unrecognized compensation cost, related to stock options granted under the Plans which will be amortized to stock compensation expense over the next 2.02 years.</w:t>
      </w:r>
    </w:p>
    <w:p>
      <w:pPr>
        <w:spacing w:after="0" w:line="166"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On April 30, 2019, the Company entered into an Equity Distribution Agreement with Piper Jaffray &amp; Co which establishes an at-the-market equity program. The Sales Agreement provides for the sale of up to 4,334,453 shares of our Common Stock (for details see Form 424B5 filed April 30, 2019).</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ind w:right="2040"/>
        <w:spacing w:after="0" w:line="503"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never been profitable and, as of March 31, 2019, we had an accumulated deficit of $243.6 million. We had net losses of $5.8 million and $4.1 million for the three months ended March 31, 2019 and 2018,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March 31, 2019, we had 56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Company has recently completed two open label, multi center phase 2 clinical studies evaluating bermekimab as a treatment for atopic dermatitis and hidradenitis suppurativa. The Company announced positive findings from these studies, both of which were presented at the American Academy of Dermatology’s Annual Meeting in March 2019. XBiotech plans to continue its pursuit of the development of its clinical pipeline along with research and development efforts to enable selection of drug candidates and research projects for further development in response to their preclinical and clinical success and commercial potential.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$12.0 million at March 31, 2019 will enable the Company to achieve some key inflection points, including clinical studies in certain indication(s), as well as on-going R&amp;D efforts for the Company’s pre-clinical pipeline. Based on our research and development plans and our timing expectations related to the progress of our programs, we expect that our cash and cash equivalents as of March 31, 2019 will enable us to fund our operating expenses and capital expenditure requirements through March 31, 2020. We have based this estimate on assumptions that may prove to be inaccurate, and we could utilize our available capital resources sooner than we currently expect.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bermekimab, or any other product candidate we may advance in the future.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2019, we have recorded total research and development expenses, including share-based compensation, of $190.2 million. Our total research and development expenses for the three months ended March 31, 2019 and 2018 were $4.5 million and $3.0 million, respectively. Share-based compensation accounted for $295 thousand and $100 thousand for the three months ended March 31, 2019 and 2018, respectively.</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Research and development expenses, as a percentage of total operating expenses for the three months ended March 31, 2019 and 2018 were 78% and 72%, respectively. The percentages, excluding stock-based compensation, for the three months ended March 31, 2019 and 2018, were 81% and 72%, respectively.</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development costs may further increase going forward with potentially more advanced studies in the future as we evaluate our clinical data and pipeline.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2019 and 2018 were $1.3 million and $1.2 million, respectively. Share-based compensation accounted for $275 thousand and $22 thousand for the three months ended March 31, 2019 and 2018, respectively.</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General and administrative expense, as a percentage of total operating expenses for the three months ended March 31, 2019 and 2018 were 22% and 28%, respectively. The percentages, excluding stock-based compensation, for the three months ended March 31, 2019 and 2018, were 19% and 28%,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ended March 31, 2019 and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30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1,029</w:t>
            </w:r>
          </w:p>
        </w:tc>
        <w:tc>
          <w:tcPr>
            <w:tcW w:w="13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1,534</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Research and development expenses increased $1.5 million to $4.5 million for the three months ended March 31, 2019, compared to $3.0 million for the three months ended March 31, 2018. The increase was mainly due to a $1.0 million increase of laboratory and manufacturing supplies, related to the clinical drug manufacturing. In addition, there was an increase in clinical trials and sponsored research due to the active trials started in 2018. Stock-based compensation also increased due to the new grants to employees in 2018 and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300" w:type="dxa"/>
            <w:vAlign w:val="bottom"/>
          </w:tcPr>
          <w:p>
            <w:pPr>
              <w:spacing w:after="0"/>
              <w:rPr>
                <w:sz w:val="19"/>
                <w:szCs w:val="19"/>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121</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 increased $0.1 million to $1.3 million for the three months ended March 31, 2019, compared to $1.2 million for the three months ended March 31, 2018. The increase was primarily related to stock–based compensation expenses of $0.3 million, due to the new grants to employees in 2018 and 2019. We had offsetting decreases in Salaries and related expense and facility allocation expense in other expense, due to one employee transferred from general and administrative to research and development.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exchange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78</w:t>
            </w:r>
          </w:p>
        </w:tc>
        <w:tc>
          <w:tcPr>
            <w:tcW w:w="3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64</w:t>
            </w:r>
          </w:p>
        </w:tc>
      </w:tr>
      <w:tr>
        <w:trPr>
          <w:trHeight w:val="230"/>
        </w:trPr>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980"/>
          </w:cols>
          <w:pgMar w:left="240" w:top="692" w:right="319" w:bottom="1440" w:gutter="0" w:footer="0" w:header="0"/>
        </w:sectPr>
      </w:pPr>
    </w:p>
    <w:p>
      <w:pPr>
        <w:spacing w:after="0" w:line="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interest income for the three months ended March 31, 2019 and 2018 was mainly from the interest generated from the Company’s Canadian bank account. Foreign exchange gain and loss was mainly due to the fluctuation between US dollar and Euro in the three months ended March 31, 2019 compared to the three months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Since our inception on March 22, 2005 through March 31, 2019, we have funded our operations principally through public offerings and the private placement of equity securities, which have provided aggregate cash proceeds of approximately $258.1 million. The following table summarizes our sources and uses of cash (in thousands):</w:t>
      </w:r>
    </w:p>
    <w:p>
      <w:pPr>
        <w:sectPr>
          <w:pgSz w:w="11900" w:h="16838" w:orient="portrait"/>
          <w:cols w:equalWidth="0" w:num="1">
            <w:col w:w="11340"/>
          </w:cols>
          <w:pgMar w:left="240" w:top="692" w:right="319" w:bottom="1440" w:gutter="0" w:footer="0" w:header="0"/>
          <w:type w:val="continuous"/>
        </w:sectPr>
      </w:pP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660" w:right="262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-155575</wp:posOffset>
            </wp:positionV>
            <wp:extent cx="65176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(4,677)</w:t>
            </w:r>
          </w:p>
        </w:tc>
        <w:tc>
          <w:tcPr>
            <w:tcW w:w="3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(3,526)</w:t>
            </w: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980"/>
          </w:cols>
          <w:pgMar w:left="240" w:top="692" w:right="319" w:bottom="1440" w:gutter="0" w:footer="0" w:header="0"/>
          <w:type w:val="continuous"/>
        </w:sectPr>
      </w:pPr>
    </w:p>
    <w:p>
      <w:pPr>
        <w:spacing w:after="0" w:line="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During the three months ended March 31, 2019 and 2018, our operating activities used net cash of $4.7 million and $3.5 million, respectively. The use of net cash in each of these periods primarily resulted from our net losses. The increase in net loss from operations for the three months ended March 31, 2019 as compared to the three months ended March 31, 2018 was mainly due to the increase in laboratory and manufacturing supplies.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months ended March 31, 2019 and 2018, our investing activities used net cash of $6 thousand and $34 thousand, respectively. The use of cash was for the purchase of new research and development equipment.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2019 and 2018, our financing activities provided net cash proceeds of $0.7 million and $0.2 million, respectively. During the three months ended March 31, 2019, employees exercised stock options to purchase a total of 190 thousand shares of our common stock for approximately $0.5 million in net proceeds. In this period, the Company also collected $0.2 million of its subscription receivable balance. During the three months ended March 31, 2018, employees exercised stock options to purchase a total of 81 thousand shares of our common stock for approximately $0.2 million in net proceeds.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EMA or similar regulatory agencies in other countries and successfully commercialized. As of March 31, 2019, our principal sources of liquidity were our cash and cash equivalents, which totaled approximately $12.0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type w:val="continuous"/>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the year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21" w:name="page22"/>
    <w:bookmarkEnd w:id="21"/>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2018. Please carefully consider the information set forth in this Quarterly Report on Form 10-Q and the risk factors discussed in Part I, “Item 1A. Risk Factors” in our Annual Report on Form 10-K for the year ended December 31,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360" w:type="dxa"/>
            <w:vAlign w:val="bottom"/>
            <w:gridSpan w:val="3"/>
          </w:tcPr>
          <w:p>
            <w:pPr>
              <w:ind w:left="500"/>
              <w:spacing w:after="0"/>
              <w:rPr>
                <w:rFonts w:ascii="Arial" w:cs="Arial" w:eastAsia="Arial" w:hAnsi="Arial"/>
                <w:sz w:val="18"/>
                <w:szCs w:val="18"/>
                <w:color w:val="0000EE"/>
              </w:rPr>
            </w:pPr>
            <w:hyperlink w:anchor="page2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60" w:type="dxa"/>
            <w:vAlign w:val="bottom"/>
          </w:tcPr>
          <w:p>
            <w:pPr>
              <w:spacing w:after="0"/>
              <w:rPr>
                <w:sz w:val="24"/>
                <w:szCs w:val="24"/>
                <w:color w:val="auto"/>
              </w:rPr>
            </w:pPr>
          </w:p>
        </w:tc>
        <w:tc>
          <w:tcPr>
            <w:tcW w:w="7960" w:type="dxa"/>
            <w:vAlign w:val="bottom"/>
            <w:gridSpan w:val="6"/>
          </w:tcPr>
          <w:p>
            <w:pPr>
              <w:ind w:left="480"/>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Certification of Principal Executive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920" w:type="dxa"/>
            <w:vAlign w:val="bottom"/>
            <w:gridSpan w:val="7"/>
          </w:tcPr>
          <w:p>
            <w:pPr>
              <w:ind w:left="96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Securities Exchange Act of 1934, as amended.</w:t>
              </w:r>
            </w:hyperlink>
          </w:p>
        </w:tc>
      </w:tr>
      <w:tr>
        <w:trPr>
          <w:trHeight w:val="20"/>
        </w:trPr>
        <w:tc>
          <w:tcPr>
            <w:tcW w:w="2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2360" w:type="dxa"/>
            <w:vAlign w:val="bottom"/>
            <w:gridSpan w:val="3"/>
          </w:tcPr>
          <w:p>
            <w:pPr>
              <w:ind w:left="500"/>
              <w:spacing w:after="0"/>
              <w:rPr>
                <w:rFonts w:ascii="Arial" w:cs="Arial" w:eastAsia="Arial" w:hAnsi="Arial"/>
                <w:sz w:val="18"/>
                <w:szCs w:val="18"/>
                <w:color w:val="0000EE"/>
              </w:rPr>
            </w:pPr>
            <w:hyperlink w:anchor="page2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60" w:type="dxa"/>
            <w:vAlign w:val="bottom"/>
          </w:tcPr>
          <w:p>
            <w:pPr>
              <w:spacing w:after="0"/>
              <w:rPr>
                <w:sz w:val="24"/>
                <w:szCs w:val="24"/>
                <w:color w:val="auto"/>
              </w:rPr>
            </w:pPr>
          </w:p>
        </w:tc>
        <w:tc>
          <w:tcPr>
            <w:tcW w:w="7960" w:type="dxa"/>
            <w:vAlign w:val="bottom"/>
            <w:gridSpan w:val="6"/>
          </w:tcPr>
          <w:p>
            <w:pPr>
              <w:ind w:left="48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Certification of Principal Financial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920" w:type="dxa"/>
            <w:vAlign w:val="bottom"/>
            <w:gridSpan w:val="7"/>
          </w:tcPr>
          <w:p>
            <w:pPr>
              <w:ind w:left="96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Securities Exchange Act of 1934, as amended.</w:t>
              </w:r>
            </w:hyperlink>
          </w:p>
        </w:tc>
      </w:tr>
      <w:tr>
        <w:trPr>
          <w:trHeight w:val="20"/>
        </w:trPr>
        <w:tc>
          <w:tcPr>
            <w:tcW w:w="2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2360" w:type="dxa"/>
            <w:vAlign w:val="bottom"/>
            <w:gridSpan w:val="3"/>
          </w:tcPr>
          <w:p>
            <w:pPr>
              <w:ind w:left="500"/>
              <w:spacing w:after="0"/>
              <w:rPr>
                <w:rFonts w:ascii="Arial" w:cs="Arial" w:eastAsia="Arial" w:hAnsi="Arial"/>
                <w:sz w:val="18"/>
                <w:szCs w:val="18"/>
                <w:color w:val="0000EE"/>
              </w:rPr>
            </w:pPr>
            <w:hyperlink w:anchor="page2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60" w:type="dxa"/>
            <w:vAlign w:val="bottom"/>
          </w:tcPr>
          <w:p>
            <w:pPr>
              <w:spacing w:after="0"/>
              <w:rPr>
                <w:sz w:val="24"/>
                <w:szCs w:val="24"/>
                <w:color w:val="auto"/>
              </w:rPr>
            </w:pPr>
          </w:p>
        </w:tc>
        <w:tc>
          <w:tcPr>
            <w:tcW w:w="7960" w:type="dxa"/>
            <w:vAlign w:val="bottom"/>
            <w:gridSpan w:val="6"/>
          </w:tcPr>
          <w:p>
            <w:pPr>
              <w:ind w:left="480"/>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Principal Executive Officer and Principal Financial Officer Required Under Rule 13a-</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920" w:type="dxa"/>
            <w:vAlign w:val="bottom"/>
            <w:gridSpan w:val="7"/>
          </w:tcPr>
          <w:p>
            <w:pPr>
              <w:ind w:left="96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14(b) of the Securities Exchange Act of 1934, as amended, and 18 U.S.C. §1350.</w:t>
              </w:r>
            </w:hyperlink>
          </w:p>
        </w:tc>
      </w:tr>
      <w:tr>
        <w:trPr>
          <w:trHeight w:val="20"/>
        </w:trPr>
        <w:tc>
          <w:tcPr>
            <w:tcW w:w="8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40" w:type="dxa"/>
            <w:vAlign w:val="bottom"/>
            <w:gridSpan w:val="3"/>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gridSpan w:val="6"/>
          </w:tcPr>
          <w:p>
            <w:pPr>
              <w:ind w:left="480"/>
              <w:spacing w:after="0"/>
              <w:rPr>
                <w:sz w:val="20"/>
                <w:szCs w:val="20"/>
                <w:color w:val="auto"/>
              </w:rPr>
            </w:pPr>
            <w:r>
              <w:rPr>
                <w:rFonts w:ascii="Arial" w:cs="Arial" w:eastAsia="Arial" w:hAnsi="Arial"/>
                <w:sz w:val="18"/>
                <w:szCs w:val="18"/>
                <w:color w:val="auto"/>
                <w:w w:val="97"/>
              </w:rPr>
              <w:t>The following financial statements from the XBiotech Inc. Quarterly Report on Form 10-Q for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920" w:type="dxa"/>
            <w:vAlign w:val="bottom"/>
            <w:gridSpan w:val="7"/>
          </w:tcPr>
          <w:p>
            <w:pPr>
              <w:ind w:left="960"/>
              <w:spacing w:after="0"/>
              <w:rPr>
                <w:sz w:val="20"/>
                <w:szCs w:val="20"/>
                <w:color w:val="auto"/>
              </w:rPr>
            </w:pPr>
            <w:r>
              <w:rPr>
                <w:rFonts w:ascii="Arial" w:cs="Arial" w:eastAsia="Arial" w:hAnsi="Arial"/>
                <w:sz w:val="18"/>
                <w:szCs w:val="18"/>
                <w:color w:val="auto"/>
                <w:w w:val="92"/>
              </w:rPr>
              <w:t>quarter ended March 31, 2019, formatted in Extensive Business Reporting Language (XBRL): (i) condensed</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920" w:type="dxa"/>
            <w:vAlign w:val="bottom"/>
            <w:gridSpan w:val="7"/>
          </w:tcPr>
          <w:p>
            <w:pPr>
              <w:ind w:left="960"/>
              <w:spacing w:after="0"/>
              <w:rPr>
                <w:sz w:val="20"/>
                <w:szCs w:val="20"/>
                <w:color w:val="auto"/>
              </w:rPr>
            </w:pPr>
            <w:r>
              <w:rPr>
                <w:rFonts w:ascii="Arial" w:cs="Arial" w:eastAsia="Arial" w:hAnsi="Arial"/>
                <w:sz w:val="18"/>
                <w:szCs w:val="18"/>
                <w:color w:val="auto"/>
                <w:w w:val="89"/>
              </w:rPr>
              <w:t>consolidated balance sheets, (ii) condensed consolidated statements of operations, (iii) condensed consolidated</w:t>
            </w:r>
          </w:p>
        </w:tc>
      </w:tr>
    </w:tbl>
    <w:p>
      <w:pPr>
        <w:ind w:left="3320"/>
        <w:spacing w:after="0" w:line="255" w:lineRule="auto"/>
        <w:rPr>
          <w:sz w:val="20"/>
          <w:szCs w:val="20"/>
          <w:color w:val="auto"/>
        </w:rPr>
      </w:pPr>
      <w:r>
        <w:rPr>
          <w:rFonts w:ascii="Arial" w:cs="Arial" w:eastAsia="Arial" w:hAnsi="Arial"/>
          <w:sz w:val="18"/>
          <w:szCs w:val="18"/>
          <w:color w:val="auto"/>
        </w:rPr>
        <w:t>statements of comprehensive loss, (iv) condensed consolidated statements of shareholders’ equity; (v) condensed consolidated statements of cash flows and (vi)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8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color w:val="auto"/>
              </w:rPr>
              <w:t>Date: May 9, 2019</w:t>
            </w:r>
          </w:p>
        </w:tc>
        <w:tc>
          <w:tcPr>
            <w:tcW w:w="19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XBIOTECH INC.</w:t>
            </w:r>
          </w:p>
        </w:tc>
      </w:tr>
      <w:tr>
        <w:trPr>
          <w:trHeight w:val="648"/>
        </w:trPr>
        <w:tc>
          <w:tcPr>
            <w:tcW w:w="2960" w:type="dxa"/>
            <w:vAlign w:val="bottom"/>
          </w:tcPr>
          <w:p>
            <w:pPr>
              <w:spacing w:after="0"/>
              <w:rPr>
                <w:sz w:val="24"/>
                <w:szCs w:val="24"/>
                <w:color w:val="auto"/>
              </w:rPr>
            </w:pPr>
          </w:p>
        </w:tc>
        <w:tc>
          <w:tcPr>
            <w:tcW w:w="6480" w:type="dxa"/>
            <w:vAlign w:val="bottom"/>
            <w:gridSpan w:val="2"/>
          </w:tcPr>
          <w:p>
            <w:pPr>
              <w:ind w:left="1580"/>
              <w:spacing w:after="0"/>
              <w:rPr>
                <w:sz w:val="20"/>
                <w:szCs w:val="20"/>
                <w:color w:val="auto"/>
              </w:rPr>
            </w:pPr>
            <w:r>
              <w:rPr>
                <w:rFonts w:ascii="Arial" w:cs="Arial" w:eastAsia="Arial" w:hAnsi="Arial"/>
                <w:sz w:val="18"/>
                <w:szCs w:val="18"/>
                <w:color w:val="auto"/>
              </w:rPr>
              <w:t>By: /S/ John Simard</w:t>
            </w:r>
          </w:p>
        </w:tc>
      </w:tr>
      <w:tr>
        <w:trPr>
          <w:trHeight w:val="195"/>
        </w:trPr>
        <w:tc>
          <w:tcPr>
            <w:tcW w:w="29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2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48"/>
        </w:trPr>
        <w:tc>
          <w:tcPr>
            <w:tcW w:w="2960" w:type="dxa"/>
            <w:vAlign w:val="bottom"/>
          </w:tcPr>
          <w:p>
            <w:pPr>
              <w:spacing w:after="0"/>
              <w:rPr>
                <w:sz w:val="20"/>
                <w:szCs w:val="20"/>
                <w:color w:val="auto"/>
              </w:rPr>
            </w:pPr>
            <w:r>
              <w:rPr>
                <w:rFonts w:ascii="Arial" w:cs="Arial" w:eastAsia="Arial" w:hAnsi="Arial"/>
                <w:sz w:val="18"/>
                <w:szCs w:val="18"/>
                <w:color w:val="auto"/>
              </w:rPr>
              <w:t>Date: May 9, 2019</w:t>
            </w:r>
          </w:p>
        </w:tc>
        <w:tc>
          <w:tcPr>
            <w:tcW w:w="6480" w:type="dxa"/>
            <w:vAlign w:val="bottom"/>
            <w:gridSpan w:val="2"/>
          </w:tcPr>
          <w:p>
            <w:pPr>
              <w:ind w:left="1580"/>
              <w:spacing w:after="0"/>
              <w:rPr>
                <w:sz w:val="20"/>
                <w:szCs w:val="20"/>
                <w:color w:val="auto"/>
              </w:rPr>
            </w:pPr>
            <w:r>
              <w:rPr>
                <w:rFonts w:ascii="Arial" w:cs="Arial" w:eastAsia="Arial" w:hAnsi="Arial"/>
                <w:sz w:val="18"/>
                <w:szCs w:val="18"/>
                <w:color w:val="auto"/>
              </w:rPr>
              <w:t>By: /S/ Queena Han</w:t>
            </w:r>
          </w:p>
        </w:tc>
      </w:tr>
      <w:tr>
        <w:trPr>
          <w:trHeight w:val="195"/>
        </w:trPr>
        <w:tc>
          <w:tcPr>
            <w:tcW w:w="29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2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Vice President, Finance and Human Resources, and Secretary</w:t>
            </w:r>
          </w:p>
        </w:tc>
      </w:tr>
      <w:tr>
        <w:trPr>
          <w:trHeight w:val="230"/>
        </w:trPr>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 and Principal Accounting Officer</w:t>
            </w:r>
            <w:r>
              <w:rPr>
                <w:rFonts w:ascii="Arial" w:cs="Arial" w:eastAsia="Arial" w:hAnsi="Arial"/>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u w:val="single" w:color="auto"/>
          <w:color w:val="auto"/>
        </w:rPr>
        <w:t>/S/ John Simard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060"/>
        <w:spacing w:after="0" w:line="266" w:lineRule="auto"/>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 1350, AS ADOPTED PURSUANT TO SECTION 906 OF THE SARBANES-OXLEY ACT OF 2002</w:t>
      </w:r>
    </w:p>
    <w:p>
      <w:pPr>
        <w:spacing w:after="0" w:line="180"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2019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7660"/>
        <w:spacing w:after="0"/>
        <w:rPr>
          <w:sz w:val="20"/>
          <w:szCs w:val="20"/>
          <w:color w:val="auto"/>
        </w:rPr>
      </w:pPr>
      <w:r>
        <w:rPr>
          <w:rFonts w:ascii="Arial" w:cs="Arial" w:eastAsia="Arial" w:hAnsi="Arial"/>
          <w:sz w:val="18"/>
          <w:szCs w:val="18"/>
          <w:b w:val="1"/>
          <w:bCs w:val="1"/>
          <w:u w:val="single" w:color="auto"/>
          <w:color w:val="auto"/>
        </w:rPr>
        <w:t>/S/ JOHN SIMARD</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Date: May 9, 2019</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2019,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00" w:lineRule="exact"/>
        <w:rPr>
          <w:sz w:val="20"/>
          <w:szCs w:val="20"/>
          <w:color w:val="auto"/>
        </w:rPr>
      </w:pPr>
    </w:p>
    <w:p>
      <w:pPr>
        <w:spacing w:after="0" w:line="260" w:lineRule="exact"/>
        <w:rPr>
          <w:sz w:val="20"/>
          <w:szCs w:val="20"/>
          <w:color w:val="auto"/>
        </w:rPr>
      </w:pPr>
    </w:p>
    <w:p>
      <w:pPr>
        <w:ind w:left="766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Vice President, Finance and Human Resources and</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2019-12-28T12:40:31Z</dcterms:created>
  <dcterms:modified xsi:type="dcterms:W3CDTF">2019-12-28T12:40:31Z</dcterms:modified>
</cp:coreProperties>
</file>