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56"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30"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001-37437</w:t>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XBIOTECH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420"/>
          </w:cols>
          <w:pgMar w:left="240" w:top="206" w:right="2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720" w:firstLine="1138"/>
        <w:spacing w:after="0" w:line="347" w:lineRule="auto"/>
        <w:rPr>
          <w:sz w:val="20"/>
          <w:szCs w:val="20"/>
          <w:color w:val="auto"/>
        </w:rPr>
      </w:pPr>
      <w:r>
        <w:rPr>
          <w:rFonts w:ascii="Arial" w:cs="Arial" w:eastAsia="Arial" w:hAnsi="Arial"/>
          <w:sz w:val="16"/>
          <w:szCs w:val="16"/>
          <w:b w:val="1"/>
          <w:bCs w:val="1"/>
          <w:color w:val="auto"/>
        </w:rPr>
        <w:t xml:space="preserve">British Columbia, Canada </w:t>
      </w:r>
      <w:r>
        <w:rPr>
          <w:rFonts w:ascii="Arial" w:cs="Arial" w:eastAsia="Arial" w:hAnsi="Arial"/>
          <w:sz w:val="16"/>
          <w:szCs w:val="16"/>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__</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6"/>
          <w:szCs w:val="16"/>
          <w:b w:val="1"/>
          <w:bCs w:val="1"/>
          <w:color w:val="auto"/>
        </w:rPr>
        <w:t>(IRS Employer Identification No.)</w:t>
      </w:r>
    </w:p>
    <w:p>
      <w:pPr>
        <w:spacing w:after="0" w:line="313" w:lineRule="exact"/>
        <w:rPr>
          <w:sz w:val="24"/>
          <w:szCs w:val="24"/>
          <w:color w:val="auto"/>
        </w:rPr>
      </w:pPr>
    </w:p>
    <w:p>
      <w:pPr>
        <w:sectPr>
          <w:pgSz w:w="11900" w:h="16838" w:orient="portrait"/>
          <w:cols w:equalWidth="0" w:num="3">
            <w:col w:w="4020" w:space="40"/>
            <w:col w:w="2480" w:space="720"/>
            <w:col w:w="4160"/>
          </w:cols>
          <w:pgMar w:left="240" w:top="206" w:right="239" w:bottom="1440" w:gutter="0" w:footer="0" w:header="0"/>
          <w:type w:val="continuous"/>
        </w:sectPr>
      </w:pP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8201 E. Riverside Drive, Bldg. 4, Suite 100</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Austin, TX 78744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offices)(Zip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Number (512) 386-2900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420"/>
          </w:cols>
          <w:pgMar w:left="240" w:top="206" w:right="239" w:bottom="1440" w:gutter="0" w:footer="0" w:header="0"/>
          <w:type w:val="continuous"/>
        </w:sectPr>
      </w:pPr>
    </w:p>
    <w:p>
      <w:pPr>
        <w:spacing w:after="0" w:line="219"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0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type w:val="continuous"/>
        </w:sectPr>
      </w:pPr>
    </w:p>
    <w:bookmarkStart w:id="1" w:name="page2"/>
    <w:bookmarkEnd w:id="1"/>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880"/>
              <w:spacing w:after="0"/>
              <w:rPr>
                <w:sz w:val="20"/>
                <w:szCs w:val="20"/>
                <w:color w:val="auto"/>
              </w:rPr>
            </w:pPr>
            <w:r>
              <w:rPr>
                <w:rFonts w:ascii="Arial" w:cs="Arial" w:eastAsia="Arial" w:hAnsi="Arial"/>
                <w:sz w:val="18"/>
                <w:szCs w:val="18"/>
                <w:color w:val="auto"/>
              </w:rPr>
              <w:t>Accelerated filer</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482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80" w:type="dxa"/>
            <w:vAlign w:val="bottom"/>
          </w:tcPr>
          <w:p>
            <w:pPr>
              <w:ind w:left="880"/>
              <w:spacing w:after="0"/>
              <w:rPr>
                <w:sz w:val="20"/>
                <w:szCs w:val="20"/>
                <w:color w:val="auto"/>
              </w:rPr>
            </w:pPr>
            <w:r>
              <w:rPr>
                <w:rFonts w:ascii="Arial" w:cs="Arial" w:eastAsia="Arial" w:hAnsi="Arial"/>
                <w:sz w:val="18"/>
                <w:szCs w:val="18"/>
                <w:color w:val="auto"/>
              </w:rPr>
              <w:t>Smaller reporting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580" w:type="dxa"/>
            <w:vAlign w:val="bottom"/>
          </w:tcPr>
          <w:p>
            <w:pPr>
              <w:ind w:left="880"/>
              <w:spacing w:after="0"/>
              <w:rPr>
                <w:sz w:val="20"/>
                <w:szCs w:val="20"/>
                <w:color w:val="auto"/>
              </w:rPr>
            </w:pPr>
            <w:r>
              <w:rPr>
                <w:rFonts w:ascii="Arial" w:cs="Arial" w:eastAsia="Arial" w:hAnsi="Arial"/>
                <w:sz w:val="18"/>
                <w:szCs w:val="18"/>
                <w:color w:val="auto"/>
              </w:rPr>
              <w:t>Emerging growth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6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9, 2017, there were 35,437,772 shares of the Registrant's common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692" w:right="3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760" w:type="dxa"/>
            <w:vAlign w:val="bottom"/>
            <w:gridSpan w:val="12"/>
          </w:tcPr>
          <w:p>
            <w:pPr>
              <w:jc w:val="center"/>
              <w:ind w:right="3240"/>
              <w:spacing w:after="0"/>
              <w:rPr>
                <w:sz w:val="20"/>
                <w:szCs w:val="20"/>
                <w:color w:val="auto"/>
              </w:rPr>
            </w:pPr>
            <w:r>
              <w:rPr>
                <w:rFonts w:ascii="Arial" w:cs="Arial" w:eastAsia="Arial" w:hAnsi="Arial"/>
                <w:sz w:val="18"/>
                <w:szCs w:val="18"/>
                <w:b w:val="1"/>
                <w:bCs w:val="1"/>
                <w:color w:val="auto"/>
              </w:rPr>
              <w:t>PART I—FINANCIAL INFORMATION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3180" w:type="dxa"/>
            <w:vAlign w:val="bottom"/>
            <w:gridSpan w:val="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Financial Statements</w:t>
              </w:r>
            </w:hyperlink>
          </w:p>
        </w:tc>
        <w:tc>
          <w:tcPr>
            <w:tcW w:w="3160" w:type="dxa"/>
            <w:vAlign w:val="bottom"/>
            <w:tcBorders>
              <w:top w:val="single" w:sz="8" w:color="auto"/>
            </w:tcBorders>
            <w:gridSpan w:val="5"/>
          </w:tcPr>
          <w:p>
            <w:pPr>
              <w:spacing w:after="0"/>
              <w:rPr>
                <w:sz w:val="21"/>
                <w:szCs w:val="21"/>
                <w:color w:val="auto"/>
              </w:rPr>
            </w:pPr>
          </w:p>
        </w:tc>
        <w:tc>
          <w:tcPr>
            <w:tcW w:w="3920" w:type="dxa"/>
            <w:vAlign w:val="bottom"/>
            <w:gridSpan w:val="6"/>
          </w:tcPr>
          <w:p>
            <w:pPr>
              <w:spacing w:after="0"/>
              <w:rPr>
                <w:sz w:val="21"/>
                <w:szCs w:val="21"/>
                <w:color w:val="auto"/>
              </w:rPr>
            </w:pPr>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Balance Sheets as of September 30, 2017 (unaudited) and December 31, 2016</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0"/>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Statements of Operations for the Three Months and Nine Months Ended September 30, 2017 (unaudited) and 2016</w:t>
              </w:r>
            </w:hyperlink>
          </w:p>
        </w:tc>
        <w:tc>
          <w:tcPr>
            <w:tcW w:w="180" w:type="dxa"/>
            <w:vAlign w:val="bottom"/>
            <w:gridSpan w:val="2"/>
            <w:vMerge w:val="restart"/>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88"/>
        </w:trPr>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60" w:type="dxa"/>
            <w:vAlign w:val="bottom"/>
            <w:tcBorders>
              <w:top w:val="single" w:sz="8" w:color="0000EE"/>
            </w:tcBorders>
            <w:gridSpan w:val="18"/>
            <w:vMerge w:val="restart"/>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w:t>
              </w:r>
            </w:hyperlink>
          </w:p>
        </w:tc>
        <w:tc>
          <w:tcPr>
            <w:tcW w:w="1000" w:type="dxa"/>
            <w:vAlign w:val="bottom"/>
            <w:gridSpan w:val="2"/>
            <w:vMerge w:val="restart"/>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60" w:type="dxa"/>
            <w:vAlign w:val="bottom"/>
            <w:tcBorders>
              <w:top w:val="single" w:sz="8" w:color="0000EE"/>
            </w:tcBorders>
            <w:gridSpan w:val="18"/>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0"/>
          </w:tcPr>
          <w:p>
            <w:pPr>
              <w:spacing w:after="0"/>
              <w:rPr>
                <w:rFonts w:ascii="Arial" w:cs="Arial" w:eastAsia="Arial" w:hAnsi="Arial"/>
                <w:sz w:val="18"/>
                <w:szCs w:val="18"/>
                <w:color w:val="0000EE"/>
                <w:w w:val="96"/>
              </w:rPr>
            </w:pPr>
            <w:hyperlink w:anchor="page8">
              <w:r>
                <w:rPr>
                  <w:rFonts w:ascii="Arial" w:cs="Arial" w:eastAsia="Arial" w:hAnsi="Arial"/>
                  <w:sz w:val="18"/>
                  <w:szCs w:val="18"/>
                  <w:color w:val="0000EE"/>
                  <w:w w:val="96"/>
                </w:rPr>
                <w:t>Consolidated Statements of Comprehensive Loss for the Three Months and Nine Months Ended September 30, 2017 (unaudited) and</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5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2016 (unaudited)</w:t>
              </w:r>
            </w:hyperlink>
          </w:p>
        </w:tc>
        <w:tc>
          <w:tcPr>
            <w:tcW w:w="68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Consolidated Statements of Cash Flows for Nine Months Ended September 30, 2017 (unaudited) and 2016 (unaudited)</w:t>
              </w:r>
            </w:hyperlink>
          </w:p>
        </w:tc>
        <w:tc>
          <w:tcPr>
            <w:tcW w:w="180" w:type="dxa"/>
            <w:vAlign w:val="bottom"/>
            <w:gridSpan w:val="2"/>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Notes to Consolidated Financial Statements (unaudited)</w:t>
              </w:r>
            </w:hyperlink>
          </w:p>
        </w:tc>
        <w:tc>
          <w:tcPr>
            <w:tcW w:w="4540" w:type="dxa"/>
            <w:vAlign w:val="bottom"/>
            <w:gridSpan w:val="6"/>
          </w:tcPr>
          <w:p>
            <w:pPr>
              <w:spacing w:after="0"/>
              <w:rPr>
                <w:sz w:val="21"/>
                <w:szCs w:val="21"/>
                <w:color w:val="auto"/>
              </w:rPr>
            </w:pPr>
          </w:p>
        </w:tc>
        <w:tc>
          <w:tcPr>
            <w:tcW w:w="1700" w:type="dxa"/>
            <w:vAlign w:val="bottom"/>
            <w:gridSpan w:val="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c>
          <w:tcPr>
            <w:tcW w:w="0" w:type="dxa"/>
            <w:vAlign w:val="bottom"/>
          </w:tcPr>
          <w:p>
            <w:pPr>
              <w:spacing w:after="0"/>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1026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8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3.</w:t>
              </w:r>
            </w:hyperlink>
          </w:p>
        </w:tc>
        <w:tc>
          <w:tcPr>
            <w:tcW w:w="10260" w:type="dxa"/>
            <w:vAlign w:val="bottom"/>
            <w:gridSpan w:val="2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21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840" w:type="dxa"/>
            <w:vAlign w:val="bottom"/>
            <w:tcBorders>
              <w:left w:val="single" w:sz="8" w:color="0000EE"/>
            </w:tcBorders>
          </w:tcPr>
          <w:p>
            <w:pPr>
              <w:spacing w:after="0" w:line="20" w:lineRule="exact"/>
              <w:rPr>
                <w:sz w:val="1"/>
                <w:szCs w:val="1"/>
                <w:color w:val="auto"/>
              </w:rPr>
            </w:pPr>
          </w:p>
        </w:tc>
        <w:tc>
          <w:tcPr>
            <w:tcW w:w="408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4.</w:t>
              </w:r>
            </w:hyperlink>
          </w:p>
        </w:tc>
        <w:tc>
          <w:tcPr>
            <w:tcW w:w="10260" w:type="dxa"/>
            <w:vAlign w:val="bottom"/>
            <w:gridSpan w:val="2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21</w:t>
              </w:r>
            </w:hyperlink>
          </w:p>
        </w:tc>
        <w:tc>
          <w:tcPr>
            <w:tcW w:w="0" w:type="dxa"/>
            <w:vAlign w:val="bottom"/>
          </w:tcPr>
          <w:p>
            <w:pPr>
              <w:spacing w:after="0"/>
              <w:rPr>
                <w:sz w:val="1"/>
                <w:szCs w:val="1"/>
                <w:color w:val="auto"/>
              </w:rPr>
            </w:pPr>
          </w:p>
        </w:tc>
      </w:tr>
      <w:tr>
        <w:trPr>
          <w:trHeight w:val="250"/>
        </w:trPr>
        <w:tc>
          <w:tcPr>
            <w:tcW w:w="50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940" w:type="dxa"/>
            <w:vAlign w:val="bottom"/>
            <w:gridSpan w:val="10"/>
          </w:tcPr>
          <w:p>
            <w:pPr>
              <w:jc w:val="center"/>
              <w:ind w:right="4080"/>
              <w:spacing w:after="0"/>
              <w:rPr>
                <w:sz w:val="20"/>
                <w:szCs w:val="20"/>
                <w:color w:val="auto"/>
              </w:rPr>
            </w:pPr>
            <w:r>
              <w:rPr>
                <w:rFonts w:ascii="Arial" w:cs="Arial" w:eastAsia="Arial" w:hAnsi="Arial"/>
                <w:sz w:val="18"/>
                <w:szCs w:val="18"/>
                <w:b w:val="1"/>
                <w:bCs w:val="1"/>
                <w:color w:val="auto"/>
              </w:rPr>
              <w:t>PART II—OTHER INFORMATION</w:t>
            </w: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1.</w:t>
              </w:r>
            </w:hyperlink>
          </w:p>
        </w:tc>
        <w:tc>
          <w:tcPr>
            <w:tcW w:w="3320" w:type="dxa"/>
            <w:vAlign w:val="bottom"/>
            <w:gridSpan w:val="1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2860" w:type="dxa"/>
            <w:vAlign w:val="bottom"/>
            <w:tcBorders>
              <w:top w:val="single" w:sz="8" w:color="auto"/>
            </w:tcBorders>
            <w:gridSpan w:val="3"/>
          </w:tcPr>
          <w:p>
            <w:pPr>
              <w:spacing w:after="0"/>
              <w:rPr>
                <w:sz w:val="21"/>
                <w:szCs w:val="21"/>
                <w:color w:val="auto"/>
              </w:rPr>
            </w:pPr>
          </w:p>
        </w:tc>
        <w:tc>
          <w:tcPr>
            <w:tcW w:w="4080" w:type="dxa"/>
            <w:vAlign w:val="bottom"/>
            <w:gridSpan w:val="7"/>
          </w:tcPr>
          <w:p>
            <w:pPr>
              <w:spacing w:after="0"/>
              <w:rPr>
                <w:sz w:val="21"/>
                <w:szCs w:val="21"/>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920" w:type="dxa"/>
            <w:vAlign w:val="bottom"/>
            <w:gridSpan w:val="8"/>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Item 1A.</w:t>
              </w:r>
            </w:hyperlink>
          </w:p>
        </w:tc>
        <w:tc>
          <w:tcPr>
            <w:tcW w:w="280" w:type="dxa"/>
            <w:vAlign w:val="bottom"/>
          </w:tcPr>
          <w:p>
            <w:pPr>
              <w:spacing w:after="0"/>
              <w:rPr>
                <w:sz w:val="21"/>
                <w:szCs w:val="21"/>
                <w:color w:val="auto"/>
              </w:rPr>
            </w:pP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Risk Factors</w:t>
              </w:r>
            </w:hyperlink>
          </w:p>
        </w:tc>
        <w:tc>
          <w:tcPr>
            <w:tcW w:w="9360" w:type="dxa"/>
            <w:vAlign w:val="bottom"/>
            <w:gridSpan w:val="17"/>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c>
          <w:tcPr>
            <w:tcW w:w="0" w:type="dxa"/>
            <w:vAlign w:val="bottom"/>
          </w:tcPr>
          <w:p>
            <w:pPr>
              <w:spacing w:after="0"/>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1026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5920" w:type="dxa"/>
            <w:vAlign w:val="bottom"/>
            <w:gridSpan w:val="8"/>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1026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7940" w:type="dxa"/>
            <w:vAlign w:val="bottom"/>
            <w:gridSpan w:val="1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1026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500" w:type="dxa"/>
            <w:vAlign w:val="bottom"/>
            <w:gridSpan w:val="1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5.</w:t>
              </w:r>
            </w:hyperlink>
          </w:p>
        </w:tc>
        <w:tc>
          <w:tcPr>
            <w:tcW w:w="1026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8960" w:type="dxa"/>
            <w:vAlign w:val="bottom"/>
            <w:gridSpan w:val="1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6.</w:t>
              </w:r>
            </w:hyperlink>
          </w:p>
        </w:tc>
        <w:tc>
          <w:tcPr>
            <w:tcW w:w="1026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80" w:top="688"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STATEMENTS REGARDING FORWARD-LOOKING STATEMENTS</w:t>
      </w:r>
    </w:p>
    <w:p>
      <w:pPr>
        <w:spacing w:after="0" w:line="229" w:lineRule="exact"/>
        <w:rPr>
          <w:sz w:val="20"/>
          <w:szCs w:val="20"/>
          <w:color w:val="auto"/>
        </w:rPr>
      </w:pPr>
    </w:p>
    <w:p>
      <w:pPr>
        <w:ind w:firstLine="551"/>
        <w:spacing w:after="0" w:line="272" w:lineRule="auto"/>
        <w:rPr>
          <w:sz w:val="20"/>
          <w:szCs w:val="20"/>
          <w:color w:val="auto"/>
        </w:rPr>
      </w:pPr>
      <w:r>
        <w:rPr>
          <w:rFonts w:ascii="Arial" w:cs="Arial" w:eastAsia="Arial" w:hAnsi="Arial"/>
          <w:sz w:val="17"/>
          <w:szCs w:val="17"/>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are forward-looking statements. You can identify forward-looking statements by terminology such as “may,” “will,” “should,” “would,” “could,” “expects,” “plans,” “contemplate,” “anticipates,” “believes,” “estimates,” “predicts,” “projects,” “intends” or “continues” or the negative of such terms or other comparable terminology, although not all forward-looking statements contain these identifying words. Forward-looking statements are subject to inherent risks and uncertainties in predicting future results and conditions that could cause the actual results to differ materially from those projected in these forward-looking statements. These forward-looking statements include, but are not limited to statements about:</w:t>
      </w:r>
    </w:p>
    <w:p>
      <w:pPr>
        <w:spacing w:after="0" w:line="218" w:lineRule="exact"/>
        <w:rPr>
          <w:sz w:val="20"/>
          <w:szCs w:val="20"/>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regulatory approval to market and sell Xilonix™ in the United States, Europe and elsewhere;</w:t>
      </w:r>
    </w:p>
    <w:p>
      <w:pPr>
        <w:spacing w:after="0" w:line="90" w:lineRule="exact"/>
        <w:rPr>
          <w:rFonts w:ascii="Arial" w:cs="Arial" w:eastAsia="Arial" w:hAnsi="Arial"/>
          <w:sz w:val="18"/>
          <w:szCs w:val="18"/>
          <w:color w:val="auto"/>
        </w:rPr>
      </w:pPr>
    </w:p>
    <w:p>
      <w:pPr>
        <w:ind w:left="500" w:right="100" w:hanging="316"/>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cost, progress and success of our research and development programs, preclinical studies and clinical trials for Xilonix™ and other product candidates;</w:t>
      </w:r>
    </w:p>
    <w:p>
      <w:pPr>
        <w:spacing w:after="0" w:line="35"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90"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the sale of Xilonix™ in the United States, Europe and elsewhere;</w:t>
      </w:r>
    </w:p>
    <w:p>
      <w:pPr>
        <w:spacing w:after="0" w:line="90"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sufficient numbers of patients for our future clinical trials for our pharmaceutical products;</w:t>
      </w:r>
    </w:p>
    <w:p>
      <w:pPr>
        <w:spacing w:after="0" w:line="90"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profitability;</w:t>
      </w:r>
    </w:p>
    <w:p>
      <w:pPr>
        <w:spacing w:after="0" w:line="90"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research funding;</w:t>
      </w:r>
    </w:p>
    <w:p>
      <w:pPr>
        <w:spacing w:after="0" w:line="90"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new products using our True Human™ antibody discovery platform;</w:t>
      </w:r>
    </w:p>
    <w:p>
      <w:pPr>
        <w:spacing w:after="0" w:line="90"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w:t>
      </w:r>
    </w:p>
    <w:p>
      <w:pPr>
        <w:spacing w:after="0" w:line="90"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commercialize product candidates for orphan and niche indications independently;</w:t>
      </w:r>
    </w:p>
    <w:p>
      <w:pPr>
        <w:spacing w:after="0" w:line="90"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90"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operate our business without infringing upon the intellectual property rights of others;</w:t>
      </w:r>
    </w:p>
    <w:p>
      <w:pPr>
        <w:spacing w:after="0" w:line="90"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federal, state and foreign regulatory requirements;</w:t>
      </w:r>
    </w:p>
    <w:p>
      <w:pPr>
        <w:spacing w:after="0" w:line="90"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therapeutic benefits, effectiveness and safety of our product candidates;</w:t>
      </w:r>
    </w:p>
    <w:p>
      <w:pPr>
        <w:spacing w:after="0" w:line="90"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accuracy of our estimates of the size and characteristics of the markets that may be addressed by our products and product candidates;</w:t>
      </w:r>
    </w:p>
    <w:p>
      <w:pPr>
        <w:spacing w:after="0" w:line="101" w:lineRule="exact"/>
        <w:rPr>
          <w:rFonts w:ascii="Arial" w:cs="Arial" w:eastAsia="Arial" w:hAnsi="Arial"/>
          <w:sz w:val="17"/>
          <w:szCs w:val="17"/>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Xilonix™ and future products, if any;</w:t>
      </w:r>
    </w:p>
    <w:p>
      <w:pPr>
        <w:spacing w:after="0" w:line="90"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collaborators’ ability to obtain and maintain regulatory approvals for our product candidates;</w:t>
      </w:r>
    </w:p>
    <w:p>
      <w:pPr>
        <w:spacing w:after="0" w:line="90"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market risk, including interest rate changes and foreign currency fluctuations;</w:t>
      </w:r>
    </w:p>
    <w:p>
      <w:pPr>
        <w:spacing w:after="0" w:line="90" w:lineRule="exact"/>
        <w:rPr>
          <w:rFonts w:ascii="Arial" w:cs="Arial" w:eastAsia="Arial" w:hAnsi="Arial"/>
          <w:sz w:val="18"/>
          <w:szCs w:val="18"/>
          <w:color w:val="auto"/>
        </w:rPr>
      </w:pPr>
    </w:p>
    <w:p>
      <w:pPr>
        <w:ind w:left="500" w:hanging="316"/>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in the sufficiency of our cash flows to meet our needs for at least the next 12 to 24 months;</w:t>
      </w:r>
    </w:p>
    <w:p>
      <w:pPr>
        <w:spacing w:after="0" w:line="200" w:lineRule="exact"/>
        <w:rPr>
          <w:sz w:val="20"/>
          <w:szCs w:val="20"/>
          <w:color w:val="auto"/>
        </w:rPr>
      </w:pPr>
    </w:p>
    <w:p>
      <w:pPr>
        <w:spacing w:after="0" w:line="3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00"/>
          </w:cols>
          <w:pgMar w:left="240" w:top="688" w:right="459" w:bottom="1440" w:gutter="0" w:footer="0" w:header="0"/>
        </w:sectPr>
      </w:pPr>
    </w:p>
    <w:bookmarkStart w:id="4" w:name="page5"/>
    <w:bookmarkEnd w:id="4"/>
    <w:p>
      <w:pPr>
        <w:ind w:left="500" w:hanging="316"/>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timing during which we will be an emerging growth company under the JOBS Act;</w:t>
      </w:r>
    </w:p>
    <w:p>
      <w:pPr>
        <w:spacing w:after="0" w:line="90" w:lineRule="exact"/>
        <w:rPr>
          <w:rFonts w:ascii="Arial" w:cs="Arial" w:eastAsia="Arial" w:hAnsi="Arial"/>
          <w:sz w:val="18"/>
          <w:szCs w:val="18"/>
          <w:color w:val="auto"/>
        </w:rPr>
      </w:pPr>
    </w:p>
    <w:p>
      <w:pPr>
        <w:ind w:left="500" w:hanging="316"/>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engage and retain the employees required to grow our business;</w:t>
      </w:r>
    </w:p>
    <w:p>
      <w:pPr>
        <w:spacing w:after="0" w:line="90" w:lineRule="exact"/>
        <w:rPr>
          <w:rFonts w:ascii="Arial" w:cs="Arial" w:eastAsia="Arial" w:hAnsi="Arial"/>
          <w:sz w:val="18"/>
          <w:szCs w:val="18"/>
          <w:color w:val="auto"/>
        </w:rPr>
      </w:pPr>
    </w:p>
    <w:p>
      <w:pPr>
        <w:ind w:left="500" w:hanging="316"/>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financial performance and projected expenditures;</w:t>
      </w:r>
    </w:p>
    <w:p>
      <w:pPr>
        <w:spacing w:after="0" w:line="90" w:lineRule="exact"/>
        <w:rPr>
          <w:rFonts w:ascii="Arial" w:cs="Arial" w:eastAsia="Arial" w:hAnsi="Arial"/>
          <w:sz w:val="18"/>
          <w:szCs w:val="18"/>
          <w:color w:val="auto"/>
        </w:rPr>
      </w:pPr>
    </w:p>
    <w:p>
      <w:pPr>
        <w:ind w:left="500" w:hanging="316"/>
        <w:spacing w:after="0"/>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developments relating to our competitors and our industry, including the success of competing therapies that are or become available; and</w:t>
      </w:r>
    </w:p>
    <w:p>
      <w:pPr>
        <w:spacing w:after="0" w:line="101" w:lineRule="exact"/>
        <w:rPr>
          <w:rFonts w:ascii="Arial" w:cs="Arial" w:eastAsia="Arial" w:hAnsi="Arial"/>
          <w:sz w:val="17"/>
          <w:szCs w:val="17"/>
          <w:color w:val="auto"/>
        </w:rPr>
      </w:pPr>
    </w:p>
    <w:p>
      <w:pPr>
        <w:ind w:left="500" w:hanging="316"/>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and our needs for additional financing.</w:t>
      </w:r>
    </w:p>
    <w:p>
      <w:pPr>
        <w:spacing w:after="0" w:line="26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All forward looking statements in this Quarterly Report on Form 10-Q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under the heading “Risk Factors” included in our annual report for the year ended December 31, 2016 filed with the SEC on March 16, 2017, and elsewhere in this Quarterly Report on Form 10-Q. These factors should not be construed as exhaustive and should be read in conjunction with the other cautionary statements that are included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2"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medical conditions,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7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1"/>
              </w:rPr>
              <w:t>September 30, 2017</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 2016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(unaudited)</w:t>
            </w:r>
          </w:p>
        </w:tc>
        <w:tc>
          <w:tcPr>
            <w:tcW w:w="6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38,977</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34,324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1,312</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40,289</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30,382</w:t>
            </w:r>
          </w:p>
        </w:tc>
        <w:tc>
          <w:tcPr>
            <w:tcW w:w="6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Building construction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19,978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70,671</w:t>
            </w:r>
          </w:p>
        </w:tc>
        <w:tc>
          <w:tcPr>
            <w:tcW w:w="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67,050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2,225</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1,277</w:t>
            </w: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3,502</w:t>
            </w:r>
          </w:p>
        </w:tc>
        <w:tc>
          <w:tcPr>
            <w:tcW w:w="6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Deferred rent</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3,522</w:t>
            </w:r>
          </w:p>
        </w:tc>
        <w:tc>
          <w:tcPr>
            <w:tcW w:w="6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Preferred stock, no par value, unlimited shares authorized, no shares outstanding</w:t>
            </w:r>
          </w:p>
        </w:tc>
        <w:tc>
          <w:tcPr>
            <w:tcW w:w="220" w:type="dxa"/>
            <w:vAlign w:val="bottom"/>
          </w:tcPr>
          <w:p>
            <w:pPr>
              <w:spacing w:after="0"/>
              <w:rPr>
                <w:sz w:val="18"/>
                <w:szCs w:val="18"/>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no par value, unlimited shares authorized, 35,437,772 and 32,627,691 shares outstanding</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at September 30, 2017 and December 31, 2016, respectively</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277,078</w:t>
            </w:r>
          </w:p>
        </w:tc>
        <w:tc>
          <w:tcPr>
            <w:tcW w:w="6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(616)</w:t>
            </w:r>
          </w:p>
        </w:tc>
        <w:tc>
          <w:tcPr>
            <w:tcW w:w="6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(209,313)</w:t>
            </w: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67,149</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59,064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70,671</w:t>
            </w:r>
          </w:p>
        </w:tc>
        <w:tc>
          <w:tcPr>
            <w:tcW w:w="6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67,050</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000" w:type="dxa"/>
            <w:vAlign w:val="bottom"/>
            <w:gridSpan w:val="2"/>
          </w:tcPr>
          <w:p>
            <w:pPr>
              <w:jc w:val="right"/>
              <w:ind w:right="215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98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48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6" w:name="page7"/>
    <w:bookmarkEnd w:id="6"/>
    <w:p>
      <w:pPr>
        <w:jc w:val="center"/>
        <w:ind w:right="60"/>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6360" w:type="dxa"/>
            <w:vAlign w:val="bottom"/>
            <w:gridSpan w:val="10"/>
          </w:tcPr>
          <w:p>
            <w:pPr>
              <w:ind w:left="880"/>
              <w:spacing w:after="0"/>
              <w:rPr>
                <w:sz w:val="20"/>
                <w:szCs w:val="20"/>
                <w:color w:val="auto"/>
              </w:rPr>
            </w:pPr>
            <w:r>
              <w:rPr>
                <w:rFonts w:ascii="Arial" w:cs="Arial" w:eastAsia="Arial" w:hAnsi="Arial"/>
                <w:sz w:val="18"/>
                <w:szCs w:val="18"/>
                <w:b w:val="1"/>
                <w:bCs w:val="1"/>
                <w:color w:val="auto"/>
                <w:w w:val="89"/>
              </w:rPr>
              <w:t>Three Months Ended September 30, Nine Months Ended September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8"/>
                <w:szCs w:val="18"/>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(unaudited)</w:t>
            </w:r>
          </w:p>
        </w:tc>
        <w:tc>
          <w:tcPr>
            <w:tcW w:w="22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4,930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9,774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20,518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28,801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8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1,663</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2,685</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6,035</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8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6,593</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12,459</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26,553</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36,322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287</w:t>
            </w: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exchange gain (loss)</w:t>
            </w:r>
          </w:p>
        </w:tc>
        <w:tc>
          <w:tcPr>
            <w:tcW w:w="8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265</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365</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 (loss)</w:t>
            </w:r>
          </w:p>
        </w:tc>
        <w:tc>
          <w:tcPr>
            <w:tcW w:w="8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388</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652</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share—basic and diluted</w:t>
            </w:r>
          </w:p>
        </w:tc>
        <w:tc>
          <w:tcPr>
            <w:tcW w:w="8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(0.18)</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(0.38)</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(0.72)</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35,423,105</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32,436,207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35,732,564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32,367,588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80"/>
          </w:cols>
          <w:pgMar w:left="240" w:top="688" w:right="17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color w:val="auto"/>
        </w:rPr>
        <w:t>Foreign currency translation adjustment Comprehensive loss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 w:lineRule="exact"/>
        <w:rPr>
          <w:sz w:val="20"/>
          <w:szCs w:val="20"/>
          <w:color w:val="auto"/>
        </w:rPr>
      </w:pPr>
      <w:r>
        <w:rPr>
          <w:sz w:val="20"/>
          <w:szCs w:val="20"/>
          <w:color w:val="auto"/>
        </w:rPr>
        <w:br w:type="column"/>
      </w:r>
    </w:p>
    <w:p>
      <w:pPr>
        <w:jc w:val="center"/>
        <w:ind w:right="4000"/>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ind w:right="4000"/>
        <w:spacing w:after="0"/>
        <w:rPr>
          <w:sz w:val="20"/>
          <w:szCs w:val="20"/>
          <w:color w:val="auto"/>
        </w:rPr>
      </w:pPr>
      <w:r>
        <w:rPr>
          <w:rFonts w:ascii="Arial" w:cs="Arial" w:eastAsia="Arial" w:hAnsi="Arial"/>
          <w:sz w:val="16"/>
          <w:szCs w:val="16"/>
          <w:color w:val="auto"/>
        </w:rPr>
        <w:t>Consolidated Statements of Comprehensive Loss</w:t>
      </w:r>
    </w:p>
    <w:p>
      <w:pPr>
        <w:spacing w:after="0" w:line="32" w:lineRule="exact"/>
        <w:rPr>
          <w:sz w:val="20"/>
          <w:szCs w:val="20"/>
          <w:color w:val="auto"/>
        </w:rPr>
      </w:pPr>
    </w:p>
    <w:p>
      <w:pPr>
        <w:jc w:val="center"/>
        <w:ind w:right="4000"/>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Three Months Ended September 30, Nine Months Ended September 30,</w:t>
      </w:r>
    </w:p>
    <w:p>
      <w:pPr>
        <w:spacing w:after="0" w:line="18" w:lineRule="exact"/>
        <w:rPr>
          <w:sz w:val="20"/>
          <w:szCs w:val="20"/>
          <w:color w:val="auto"/>
        </w:rPr>
      </w:pPr>
    </w:p>
    <w:tbl>
      <w:tblPr>
        <w:tblLayout w:type="fixed"/>
        <w:tblInd w:w="20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7"/>
                <w:szCs w:val="17"/>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7"/>
                <w:szCs w:val="17"/>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17"/>
                <w:szCs w:val="17"/>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(unaudited)</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(unaudited)</w:t>
            </w:r>
          </w:p>
        </w:tc>
        <w:tc>
          <w:tcPr>
            <w:tcW w:w="13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(unaudited)</w:t>
            </w:r>
          </w:p>
        </w:tc>
      </w:tr>
      <w:tr>
        <w:trPr>
          <w:trHeight w:val="425"/>
        </w:trPr>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(12,484)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(25,901)</w:t>
            </w: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(36,363)</w:t>
            </w:r>
          </w:p>
        </w:tc>
      </w:tr>
      <w:tr>
        <w:trPr>
          <w:trHeight w:val="230"/>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r>
      <w:tr>
        <w:trPr>
          <w:trHeight w:val="223"/>
        </w:trPr>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(26,574)</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(36,327)</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-462280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-179705</wp:posOffset>
            </wp:positionV>
            <wp:extent cx="72466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14605</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2">
            <w:col w:w="3220" w:space="720"/>
            <w:col w:w="7540"/>
          </w:cols>
          <w:pgMar w:left="240" w:top="688" w:right="1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gridSpan w:val="3"/>
          </w:tcPr>
          <w:p>
            <w:pPr>
              <w:ind w:left="14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18"/>
                <w:szCs w:val="18"/>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(unaudited)</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(25,901)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889</w:t>
            </w:r>
          </w:p>
        </w:tc>
        <w:tc>
          <w:tcPr>
            <w:tcW w:w="36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1,340</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1,294</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(2,207)</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(2,254)</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Deferred rent</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(26,842)</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(1,151)</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Expenditure on building construction</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(1,151)</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and warrants, net</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32,620</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Issuance of common stock under stock option plan</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699</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33,319</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foreign exchange rate on cash and cash equivalents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(673)</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tcPr>
          <w:p>
            <w:pPr>
              <w:spacing w:after="0"/>
              <w:rPr>
                <w:sz w:val="18"/>
                <w:szCs w:val="18"/>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4,653</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(44,258)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34,324</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91,051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end of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38,977</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46,793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Supplemental Information:</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Accrued purchases of property and equipment</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Accrued expenditure on building construction</w:t>
            </w:r>
          </w:p>
        </w:tc>
        <w:tc>
          <w:tcPr>
            <w:tcW w:w="22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(Unaudited)</w:t>
      </w:r>
    </w:p>
    <w:p>
      <w:pPr>
        <w:spacing w:after="0" w:line="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1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XBiotech Inc. (“XBiotech” or “the Company”) was incorporated in Canada on March 22, 2005. XBiotech USA, Inc., a wholly-owned subsidiary of the Company, was incorporated in Delaware, United States (“U.S.”) in November 2007. XBiotech Switzerland AG, a wholly-owned subsidiary of the Company, was incorporated in Zug, Switzerland in August 2010. XBiotech Japan K.K., a wholly-owned subsidiary of the Company, was incorporated in Tokyo, Japan in March 2013. XBiotech Germany GmbH, a wholly-owned subsidiary of the Company, was incorporated in Germany in January 2014. The Company’s headquarters are located in Austin, Texas.</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XBiotech Inc. is a pre-market biopharmaceutical company engaged in discovering and developing True Human™ monoclonal antibodies for treating a variety of diseases. True Human™ monoclonal antibodies are those which occur naturally in human beings—as opposed to being derived from animal immunization or otherwise engineered. The Company believes that naturally occurring monoclonal antibodies have the potential to be safer and more effective than their non-naturally occurring counterparts. XBiotech is focused on developing its True Human™ pipeline and manufacturing system. The Company’s pipeline consists of product candidates at various stages of development across an array of indications including oncology, dermatology, and other inflammatory conditions, such as peripheral vascular disease and type 2 diabetes.</w:t>
      </w:r>
    </w:p>
    <w:p>
      <w:pPr>
        <w:spacing w:after="0" w:line="174" w:lineRule="exact"/>
        <w:rPr>
          <w:sz w:val="20"/>
          <w:szCs w:val="20"/>
          <w:color w:val="auto"/>
        </w:rPr>
      </w:pPr>
    </w:p>
    <w:p>
      <w:pPr>
        <w:ind w:right="8580" w:firstLine="8"/>
        <w:spacing w:after="0" w:line="503" w:lineRule="auto"/>
        <w:tabs>
          <w:tab w:leader="none" w:pos="45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These consolidated financial statements have been prepared in conformity with accounting principles generally accepted in the United States (“US GAAP”). In the opinion of management, the accompanying consolidated financial statements reflect all adjustments (consisting only of normal recurring items) considered necessary to present fairly the Company’s financial position at September 30, 2017 and December 31, 2016, the results of its operations and comprehensive loss for the nine month periods ended September 30, 2017 and 2016, and the cash flows for the nine month periods ended September 30, 2017 and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significant intercompany transactions have been eliminated upon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U.S. requires management to make estimates and assumptions that affect the reported values of amounts in the financial statements and accompanying notes. Actual results could differ from those estimates.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Prior to its initial public offering on April 15, 2015, the Company utilized significant estimates and assumptions in determining the fair value of its common stock. The board of directors determined the estimated fair value of the Company’s common stock based on a number of objective and subjective factors, including the prices at which the Company sold shares of its common stock to third parties and external market conditions affecting the biotechnology industry sector. After the initial public offering, the fair market value is calculated by using the closing price of the Company’s common stock as reported by NASDAQ.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All research and development costs are charged to expense as incurred. Research and development costs include salaries and personnel-related costs, consulting fees, fees paid for contract clinical trial research services, the costs of laboratory consumables, equipment and facilities costs, license fees and other external costs. Costs incurred to acquire licenses for intellectual property to be used in research and development activities with no alternative future use are expensed as incurred as research and development costs.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 w:name="page11"/>
    <w:bookmarkEnd w:id="10"/>
    <w:p>
      <w:pPr>
        <w:ind w:right="220" w:firstLine="648"/>
        <w:spacing w:after="0" w:line="277" w:lineRule="auto"/>
        <w:rPr>
          <w:sz w:val="20"/>
          <w:szCs w:val="20"/>
          <w:color w:val="auto"/>
        </w:rPr>
      </w:pPr>
      <w:r>
        <w:rPr>
          <w:rFonts w:ascii="Arial" w:cs="Arial" w:eastAsia="Arial" w:hAnsi="Arial"/>
          <w:sz w:val="18"/>
          <w:szCs w:val="18"/>
          <w:color w:val="auto"/>
        </w:rPr>
        <w:t>Nonrefundable advance payments for goods or services to be received in the future for use in research and development activities are deferred and capitalized. The capitalized amounts are expensed as the related goods are delivered or the services are performed.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The Company accounts for its share-based compensation awards in accordance with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ASC 718, which requires all share-based payments to employees, including grants of employee stock options, to be recognized in the statements of operations based on their grant date fair values. For stock options granted to employees and to members of the board of directors for their services on the board of directors, the Company estimates the grant date fair value of each option award using the Black-Scholes option-pricing model. The use of the Black-Scholes option-pricing model requires management to make assumptions with respect to the expected term of the option, the expected volatility of the common stock consistent with the expected life of the option, risk-free interest rates and expected dividend yields of the common stock. For awards subject to service-based vesting conditions, the Company recognizes share-based compensation expense, equal to the grant date fair value of stock options on a straight-line basis over the requisite service period. The Company accounts for forfeitures as they occur rather than on an estimated basis.</w:t>
      </w:r>
    </w:p>
    <w:p>
      <w:pPr>
        <w:spacing w:after="0" w:line="16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Share-based compensation expense recognized for the three and nine months ended September 30, 2017 and 2016 was included in the following line items on the Consolidated Statement of Operations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4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232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Nine Months Ended</w:t>
            </w:r>
          </w:p>
        </w:tc>
      </w:tr>
      <w:tr>
        <w:trPr>
          <w:trHeight w:val="216"/>
        </w:trPr>
        <w:tc>
          <w:tcPr>
            <w:tcW w:w="4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380" w:type="dxa"/>
            <w:vAlign w:val="bottom"/>
          </w:tcPr>
          <w:p>
            <w:pPr>
              <w:spacing w:after="0"/>
              <w:rPr>
                <w:sz w:val="18"/>
                <w:szCs w:val="18"/>
                <w:color w:val="auto"/>
              </w:rPr>
            </w:pPr>
          </w:p>
        </w:tc>
        <w:tc>
          <w:tcPr>
            <w:tcW w:w="23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4500" w:type="dxa"/>
            <w:vAlign w:val="bottom"/>
          </w:tcPr>
          <w:p>
            <w:pPr>
              <w:spacing w:after="0"/>
              <w:rPr>
                <w:sz w:val="20"/>
                <w:szCs w:val="20"/>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3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5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7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217</w:t>
            </w:r>
          </w:p>
        </w:tc>
        <w:tc>
          <w:tcPr>
            <w:tcW w:w="3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565</w:t>
            </w:r>
          </w:p>
        </w:tc>
        <w:tc>
          <w:tcPr>
            <w:tcW w:w="3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c>
          <w:tcPr>
            <w:tcW w:w="3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1,749</w:t>
            </w:r>
          </w:p>
        </w:tc>
      </w:tr>
      <w:tr>
        <w:trPr>
          <w:trHeight w:val="230"/>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5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228</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561</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1,828</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2,291</w:t>
            </w:r>
          </w:p>
        </w:tc>
      </w:tr>
      <w:tr>
        <w:trPr>
          <w:trHeight w:val="223"/>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5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445</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1,126</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2,065</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4,040</w:t>
            </w:r>
          </w:p>
        </w:tc>
      </w:tr>
      <w:tr>
        <w:trPr>
          <w:trHeight w:val="20"/>
        </w:trPr>
        <w:tc>
          <w:tcPr>
            <w:tcW w:w="4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each option is estimated on the date of grant using the Black-Scholes method with the following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480" w:type="dxa"/>
            <w:vAlign w:val="bottom"/>
          </w:tcPr>
          <w:p>
            <w:pPr>
              <w:spacing w:after="0"/>
              <w:rPr>
                <w:sz w:val="18"/>
                <w:szCs w:val="18"/>
                <w:color w:val="auto"/>
              </w:rPr>
            </w:pPr>
          </w:p>
        </w:tc>
      </w:tr>
      <w:tr>
        <w:trPr>
          <w:trHeight w:val="216"/>
        </w:trPr>
        <w:tc>
          <w:tcPr>
            <w:tcW w:w="5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3"/>
          </w:tcPr>
          <w:p>
            <w:pPr>
              <w:jc w:val="center"/>
              <w:ind w:right="330"/>
              <w:spacing w:after="0"/>
              <w:rPr>
                <w:sz w:val="20"/>
                <w:szCs w:val="20"/>
                <w:color w:val="auto"/>
              </w:rPr>
            </w:pPr>
            <w:r>
              <w:rPr>
                <w:rFonts w:ascii="Arial" w:cs="Arial" w:eastAsia="Arial" w:hAnsi="Arial"/>
                <w:sz w:val="18"/>
                <w:szCs w:val="18"/>
                <w:b w:val="1"/>
                <w:bCs w:val="1"/>
                <w:color w:val="auto"/>
                <w:w w:val="89"/>
              </w:rPr>
              <w:t>September 30,</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3"/>
          </w:tcPr>
          <w:p>
            <w:pPr>
              <w:jc w:val="center"/>
              <w:ind w:right="330"/>
              <w:spacing w:after="0"/>
              <w:rPr>
                <w:sz w:val="20"/>
                <w:szCs w:val="20"/>
                <w:color w:val="auto"/>
              </w:rPr>
            </w:pPr>
            <w:r>
              <w:rPr>
                <w:rFonts w:ascii="Arial" w:cs="Arial" w:eastAsia="Arial" w:hAnsi="Arial"/>
                <w:sz w:val="18"/>
                <w:szCs w:val="18"/>
                <w:b w:val="1"/>
                <w:bCs w:val="1"/>
                <w:color w:val="auto"/>
                <w:w w:val="89"/>
              </w:rPr>
              <w:t>September 30,</w:t>
            </w:r>
          </w:p>
        </w:tc>
        <w:tc>
          <w:tcPr>
            <w:tcW w:w="480" w:type="dxa"/>
            <w:vAlign w:val="bottom"/>
          </w:tcPr>
          <w:p>
            <w:pPr>
              <w:spacing w:after="0"/>
              <w:rPr>
                <w:sz w:val="18"/>
                <w:szCs w:val="18"/>
                <w:color w:val="auto"/>
              </w:rPr>
            </w:pPr>
          </w:p>
        </w:tc>
      </w:tr>
      <w:tr>
        <w:trPr>
          <w:trHeight w:val="234"/>
        </w:trPr>
        <w:tc>
          <w:tcPr>
            <w:tcW w:w="54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5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5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480" w:type="dxa"/>
            <w:vAlign w:val="bottom"/>
            <w:tcBorders>
              <w:bottom w:val="single" w:sz="8" w:color="auto"/>
            </w:tcBorders>
          </w:tcPr>
          <w:p>
            <w:pPr>
              <w:spacing w:after="0"/>
              <w:rPr>
                <w:sz w:val="20"/>
                <w:szCs w:val="20"/>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Expected volatility</w:t>
            </w:r>
          </w:p>
        </w:tc>
        <w:tc>
          <w:tcPr>
            <w:tcW w:w="6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4"/>
              </w:rPr>
              <w:t>67%</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70%</w:t>
            </w: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20"/>
              <w:spacing w:after="0"/>
              <w:rPr>
                <w:sz w:val="20"/>
                <w:szCs w:val="20"/>
                <w:color w:val="auto"/>
              </w:rPr>
            </w:pPr>
            <w:r>
              <w:rPr>
                <w:rFonts w:ascii="Arial" w:cs="Arial" w:eastAsia="Arial" w:hAnsi="Arial"/>
                <w:sz w:val="18"/>
                <w:szCs w:val="18"/>
                <w:color w:val="auto"/>
              </w:rPr>
              <w:t>67%</w:t>
            </w: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20"/>
                <w:szCs w:val="20"/>
                <w:color w:val="auto"/>
              </w:rPr>
            </w:pPr>
            <w:r>
              <w:rPr>
                <w:rFonts w:ascii="Arial" w:cs="Arial" w:eastAsia="Arial" w:hAnsi="Arial"/>
                <w:sz w:val="18"/>
                <w:szCs w:val="18"/>
                <w:color w:val="auto"/>
              </w:rPr>
              <w:t>70%</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2.07%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1.60%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1.83%</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2.41%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1.82%</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600" w:type="dxa"/>
            <w:vAlign w:val="bottom"/>
          </w:tcPr>
          <w:p>
            <w:pPr>
              <w:jc w:val="right"/>
              <w:spacing w:after="0"/>
              <w:rPr>
                <w:sz w:val="20"/>
                <w:szCs w:val="20"/>
                <w:color w:val="auto"/>
              </w:rPr>
            </w:pPr>
            <w:r>
              <w:rPr>
                <w:rFonts w:ascii="Arial" w:cs="Arial" w:eastAsia="Arial" w:hAnsi="Arial"/>
                <w:sz w:val="18"/>
                <w:szCs w:val="18"/>
                <w:color w:val="auto"/>
              </w:rPr>
              <w:t>5.75</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40"/>
              <w:spacing w:after="0"/>
              <w:rPr>
                <w:sz w:val="20"/>
                <w:szCs w:val="20"/>
                <w:color w:val="auto"/>
              </w:rPr>
            </w:pPr>
            <w:r>
              <w:rPr>
                <w:rFonts w:ascii="Arial" w:cs="Arial" w:eastAsia="Arial" w:hAnsi="Arial"/>
                <w:sz w:val="18"/>
                <w:szCs w:val="18"/>
                <w:color w:val="auto"/>
              </w:rPr>
              <w:t>6.25</w:t>
            </w:r>
          </w:p>
        </w:tc>
        <w:tc>
          <w:tcPr>
            <w:tcW w:w="540" w:type="dxa"/>
            <w:vAlign w:val="bottom"/>
          </w:tcPr>
          <w:p>
            <w:pPr>
              <w:jc w:val="right"/>
              <w:spacing w:after="0"/>
              <w:rPr>
                <w:sz w:val="20"/>
                <w:szCs w:val="20"/>
                <w:color w:val="auto"/>
              </w:rPr>
            </w:pPr>
            <w:r>
              <w:rPr>
                <w:rFonts w:ascii="Arial" w:cs="Arial" w:eastAsia="Arial" w:hAnsi="Arial"/>
                <w:sz w:val="18"/>
                <w:szCs w:val="18"/>
                <w:color w:val="auto"/>
              </w:rPr>
              <w:t>5.26</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0"/>
                <w:szCs w:val="20"/>
                <w:color w:val="auto"/>
              </w:rPr>
            </w:pPr>
            <w:r>
              <w:rPr>
                <w:rFonts w:ascii="Arial" w:cs="Arial" w:eastAsia="Arial" w:hAnsi="Arial"/>
                <w:sz w:val="18"/>
                <w:szCs w:val="18"/>
                <w:color w:val="auto"/>
              </w:rPr>
              <w:t>10.00</w:t>
            </w:r>
          </w:p>
        </w:tc>
        <w:tc>
          <w:tcPr>
            <w:tcW w:w="540" w:type="dxa"/>
            <w:vAlign w:val="bottom"/>
          </w:tcPr>
          <w:p>
            <w:pPr>
              <w:jc w:val="right"/>
              <w:spacing w:after="0"/>
              <w:rPr>
                <w:sz w:val="20"/>
                <w:szCs w:val="20"/>
                <w:color w:val="auto"/>
              </w:rPr>
            </w:pPr>
            <w:r>
              <w:rPr>
                <w:rFonts w:ascii="Arial" w:cs="Arial" w:eastAsia="Arial" w:hAnsi="Arial"/>
                <w:sz w:val="18"/>
                <w:szCs w:val="18"/>
                <w:color w:val="auto"/>
              </w:rPr>
              <w:t>5.38</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20"/>
              <w:spacing w:after="0"/>
              <w:rPr>
                <w:sz w:val="20"/>
                <w:szCs w:val="20"/>
                <w:color w:val="auto"/>
              </w:rPr>
            </w:pPr>
            <w:r>
              <w:rPr>
                <w:rFonts w:ascii="Arial" w:cs="Arial" w:eastAsia="Arial" w:hAnsi="Arial"/>
                <w:sz w:val="18"/>
                <w:szCs w:val="18"/>
                <w:color w:val="auto"/>
              </w:rPr>
              <w:t>10</w:t>
            </w: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20"/>
                <w:szCs w:val="20"/>
                <w:color w:val="auto"/>
              </w:rPr>
            </w:pPr>
            <w:r>
              <w:rPr>
                <w:rFonts w:ascii="Arial" w:cs="Arial" w:eastAsia="Arial" w:hAnsi="Arial"/>
                <w:sz w:val="18"/>
                <w:szCs w:val="18"/>
                <w:color w:val="auto"/>
              </w:rPr>
              <w:t>10</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470"/>
              <w:spacing w:after="0"/>
              <w:rPr>
                <w:sz w:val="20"/>
                <w:szCs w:val="20"/>
                <w:color w:val="auto"/>
              </w:rPr>
            </w:pPr>
            <w:r>
              <w:rPr>
                <w:rFonts w:ascii="Arial" w:cs="Arial" w:eastAsia="Arial" w:hAnsi="Arial"/>
                <w:sz w:val="18"/>
                <w:szCs w:val="18"/>
                <w:color w:val="auto"/>
                <w:w w:val="88"/>
              </w:rPr>
              <w:t>$4.86</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$8.50</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470"/>
              <w:spacing w:after="0"/>
              <w:rPr>
                <w:sz w:val="20"/>
                <w:szCs w:val="20"/>
                <w:color w:val="auto"/>
              </w:rPr>
            </w:pPr>
            <w:r>
              <w:rPr>
                <w:rFonts w:ascii="Arial" w:cs="Arial" w:eastAsia="Arial" w:hAnsi="Arial"/>
                <w:sz w:val="18"/>
                <w:szCs w:val="18"/>
                <w:color w:val="auto"/>
                <w:w w:val="88"/>
              </w:rPr>
              <w:t>$4.85</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$7.09</w:t>
            </w:r>
          </w:p>
        </w:tc>
        <w:tc>
          <w:tcPr>
            <w:tcW w:w="4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 considers highly liquid investments with a maturity of three months or less when purchased to be cash equivalents. Cash and cash equivalents consisted primarily of cash on deposit in U.S., German, Swiss, Japanese and Canadian banks. Cash and cash equivalents are stated at cost which approximates fair value.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The Company holds these investments in highly-rated financial institutions, and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The Company follows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establishes a fair value hierarchy for those instruments measured at fair value that distinguishes between assumptions based on market date (observable inputs) and the Company’s own assumptions (unobservable inputs). The hierarchy consists of three levels:</w:t>
      </w:r>
    </w:p>
    <w:p>
      <w:pPr>
        <w:spacing w:after="0" w:line="181" w:lineRule="exact"/>
        <w:rPr>
          <w:sz w:val="20"/>
          <w:szCs w:val="20"/>
          <w:color w:val="auto"/>
        </w:rPr>
      </w:pPr>
    </w:p>
    <w:p>
      <w:pPr>
        <w:ind w:left="880" w:hanging="332"/>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for identical assets or liabilities.</w:t>
      </w:r>
    </w:p>
    <w:p>
      <w:pPr>
        <w:spacing w:after="0" w:line="23" w:lineRule="exact"/>
        <w:rPr>
          <w:rFonts w:ascii="Arial" w:cs="Arial" w:eastAsia="Arial" w:hAnsi="Arial"/>
          <w:sz w:val="18"/>
          <w:szCs w:val="18"/>
          <w:color w:val="auto"/>
        </w:rPr>
      </w:pPr>
    </w:p>
    <w:p>
      <w:pPr>
        <w:ind w:left="880" w:right="480" w:hanging="332"/>
        <w:spacing w:after="0" w:line="250"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2—Quoted prices for similar assets and liabilities in active markets, quoted prices in markets that are not active, or inputs which are observable, either directly or indirectly, for substantially the full term of the asset or liability.</w:t>
      </w:r>
    </w:p>
    <w:p>
      <w:pPr>
        <w:ind w:left="880" w:right="120" w:hanging="332"/>
        <w:spacing w:after="0" w:line="261"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 in which there is little, if any, market activity for the asset or liability at the measurement date.</w:t>
      </w:r>
    </w:p>
    <w:p>
      <w:pPr>
        <w:spacing w:after="0" w:line="184"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At September 30, 2017 and December 31, 2016, the Company did not have any assets or liabilities that are measured at fair value on a recurring basis. The carrying amounts reflected in the balance sheets for cash and cash equivalents, prepaid expenses and other current assets, accounts payable, and accrued expenses approximate their fair values at September 30, 2017 and December 31, 2016, due to their short-term nature.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Property and equipment, which consists of land, construction in process, furniture and fixtures, computers and office equipment, scientific equipment, leasehold improvements, vehicles and building are stated at cost and depreciated over the estimated useful lives of the assets, with the exception of land and construction in process which are not depreciated, using the straight line method. The useful lives are as follows:</w:t>
      </w:r>
    </w:p>
    <w:p>
      <w:pPr>
        <w:sectPr>
          <w:pgSz w:w="11900" w:h="16838" w:orient="portrait"/>
          <w:cols w:equalWidth="0" w:num="1">
            <w:col w:w="11300"/>
          </w:cols>
          <w:pgMar w:left="240" w:top="688" w:right="359" w:bottom="1440" w:gutter="0" w:footer="0" w:header="0"/>
        </w:sectPr>
      </w:pPr>
    </w:p>
    <w:p>
      <w:pPr>
        <w:spacing w:after="0" w:line="3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Furniture and fixtures</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color w:val="auto"/>
        </w:rPr>
        <w:t>7 years</w:t>
      </w:r>
    </w:p>
    <w:p>
      <w:pPr>
        <w:spacing w:after="0" w:line="211" w:lineRule="exact"/>
        <w:rPr>
          <w:sz w:val="20"/>
          <w:szCs w:val="20"/>
          <w:color w:val="auto"/>
        </w:rPr>
      </w:pPr>
    </w:p>
    <w:p>
      <w:pPr>
        <w:sectPr>
          <w:pgSz w:w="11900" w:h="16838" w:orient="portrait"/>
          <w:cols w:equalWidth="0" w:num="2">
            <w:col w:w="3740" w:space="720"/>
            <w:col w:w="6840"/>
          </w:cols>
          <w:pgMar w:left="240" w:top="688" w:right="35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Office equipment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3740" w:space="720"/>
            <w:col w:w="6840"/>
          </w:cols>
          <w:pgMar w:left="240" w:top="688" w:right="35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Leasehold improvements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Shorter of asset’s useful life or remaining lease term</w:t>
      </w:r>
    </w:p>
    <w:p>
      <w:pPr>
        <w:spacing w:after="0" w:line="200" w:lineRule="exact"/>
        <w:rPr>
          <w:sz w:val="20"/>
          <w:szCs w:val="20"/>
          <w:color w:val="auto"/>
        </w:rPr>
      </w:pPr>
    </w:p>
    <w:p>
      <w:pPr>
        <w:sectPr>
          <w:pgSz w:w="11900" w:h="16838" w:orient="portrait"/>
          <w:cols w:equalWidth="0" w:num="2">
            <w:col w:w="3740" w:space="720"/>
            <w:col w:w="6840"/>
          </w:cols>
          <w:pgMar w:left="240" w:top="688" w:right="35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Scientific equipment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3740" w:space="720"/>
            <w:col w:w="6840"/>
          </w:cols>
          <w:pgMar w:left="240" w:top="688" w:right="35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Vehicles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3740" w:space="720"/>
            <w:col w:w="6840"/>
          </w:cols>
          <w:pgMar w:left="240" w:top="688" w:right="35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Building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39 years</w:t>
      </w:r>
    </w:p>
    <w:p>
      <w:pPr>
        <w:spacing w:after="0" w:line="222" w:lineRule="exact"/>
        <w:rPr>
          <w:sz w:val="20"/>
          <w:szCs w:val="20"/>
          <w:color w:val="auto"/>
        </w:rPr>
      </w:pPr>
    </w:p>
    <w:p>
      <w:pPr>
        <w:sectPr>
          <w:pgSz w:w="11900" w:h="16838" w:orient="portrait"/>
          <w:cols w:equalWidth="0" w:num="2">
            <w:col w:w="3740" w:space="720"/>
            <w:col w:w="6840"/>
          </w:cols>
          <w:pgMar w:left="240" w:top="688" w:right="359" w:bottom="1440" w:gutter="0" w:footer="0" w:header="0"/>
          <w:type w:val="continuous"/>
        </w:sectPr>
      </w:pPr>
    </w:p>
    <w:p>
      <w:pPr>
        <w:spacing w:after="0" w:line="3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Costs of major additions and betterments are capitalized; maintenance and repairs, which do not improve or extend the life of the respective assets, are charged to expense as incurred. Upon retirement or sale, the cost of the disposed asset and the related accumulated depreciation are removed from the accounts and the resulting gain or loss is recognized.</w:t>
      </w: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00"/>
          </w:cols>
          <w:pgMar w:left="240" w:top="688" w:right="3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 xml:space="preserve">The Company periodically evaluates its long-lived assets for potential impairment in accordance with ASC Topic 360, </w:t>
      </w:r>
      <w:r>
        <w:rPr>
          <w:rFonts w:ascii="Arial" w:cs="Arial" w:eastAsia="Arial" w:hAnsi="Arial"/>
          <w:sz w:val="16"/>
          <w:szCs w:val="16"/>
          <w:i w:val="1"/>
          <w:iCs w:val="1"/>
          <w:color w:val="auto"/>
        </w:rPr>
        <w:t>Property, Plant and</w:t>
      </w:r>
      <w:r>
        <w:rPr>
          <w:rFonts w:ascii="Arial" w:cs="Arial" w:eastAsia="Arial" w:hAnsi="Arial"/>
          <w:sz w:val="16"/>
          <w:szCs w:val="16"/>
          <w:color w:val="auto"/>
        </w:rPr>
        <w:t xml:space="preserve"> </w:t>
      </w:r>
      <w:r>
        <w:rPr>
          <w:rFonts w:ascii="Arial" w:cs="Arial" w:eastAsia="Arial" w:hAnsi="Arial"/>
          <w:sz w:val="16"/>
          <w:szCs w:val="16"/>
          <w:i w:val="1"/>
          <w:iCs w:val="1"/>
          <w:color w:val="auto"/>
        </w:rPr>
        <w:t>Equipment</w:t>
      </w:r>
      <w:r>
        <w:rPr>
          <w:rFonts w:ascii="Arial" w:cs="Arial" w:eastAsia="Arial" w:hAnsi="Arial"/>
          <w:sz w:val="16"/>
          <w:szCs w:val="16"/>
          <w:color w:val="auto"/>
        </w:rPr>
        <w:t>. Potential impairment is assessed when there is evidence that events or changes in circumstances indicate that the carrying amount of an asset may</w:t>
      </w:r>
      <w:r>
        <w:rPr>
          <w:rFonts w:ascii="Arial" w:cs="Arial" w:eastAsia="Arial" w:hAnsi="Arial"/>
          <w:sz w:val="16"/>
          <w:szCs w:val="16"/>
          <w:i w:val="1"/>
          <w:iCs w:val="1"/>
          <w:color w:val="auto"/>
        </w:rPr>
        <w:t xml:space="preserve"> </w:t>
      </w:r>
      <w:r>
        <w:rPr>
          <w:rFonts w:ascii="Arial" w:cs="Arial" w:eastAsia="Arial" w:hAnsi="Arial"/>
          <w:sz w:val="16"/>
          <w:szCs w:val="16"/>
          <w:color w:val="auto"/>
        </w:rPr>
        <w:t>not be recovered.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through September 30,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29"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Certain transactions are denominated in a currency other than the Company’s functional currency of the U.S. dollar, and the Company generates assets and liabilities that are fixed in terms of the amount of foreign currency that will be received or paid. At each balance sheet date, the Company adjusts the assets and liabilities to reflect the current exchange rate, resulting in a translation gain or loss. Transaction gains and losses are also realized upon a settlement of a foreign currency transaction in determining net loss for the period in which the transaction is settled.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ASC Topic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requires that all components of comprehensive income (loss), including net income (loss), be reported in the financial statements in the period in which they are recognized. Comprehensive income (loss) is defined as the change in equity during a period from transactions and other events and circumstances from non-owner sources, including unrealized gains and losses on investments and foreign currency translation adjustments.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Operating segments are identified as components of an enterprise for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Substantially all of the Company’s operations are in the U.S. geographic segment.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jc w:val="both"/>
        <w:ind w:right="360" w:firstLine="648"/>
        <w:spacing w:after="0" w:line="312" w:lineRule="auto"/>
        <w:rPr>
          <w:sz w:val="20"/>
          <w:szCs w:val="20"/>
          <w:color w:val="auto"/>
        </w:rPr>
      </w:pPr>
      <w:r>
        <w:rPr>
          <w:rFonts w:ascii="Arial" w:cs="Arial" w:eastAsia="Arial" w:hAnsi="Arial"/>
          <w:sz w:val="16"/>
          <w:szCs w:val="16"/>
          <w:color w:val="auto"/>
        </w:rPr>
        <w:t>Net loss per share (“EPS”) is computed by dividing net loss by the weighted average number of common shares outstanding during each period. Diluted EPS is computed by dividing net loss by the weighted average number of common shares and common share equivalents outstanding (if dilutive) during each period. The number of common share equivalents, which include stock options, is computed using the treasury stock method.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Company considered events or transactions occurring after the balance sheet date but prior to the date the consolidated financial statements are available to be issued for potential recognition or disclosure in its consolidated financial statements. We have evaluated subsequent events through the date of filing this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February 2016, the FASB issued ASU No. 2016-02, “Leases.” ASU 2016-02 requires companies that lease assets to recognize a right-of-use asset and a lease liability, initially measured at the present value of the lease payments, in its balance sheet. The pronouncement will also require additional disclosures about the amount, timing and uncertainty of cash flows arising from leases. This pronouncement is effective for fiscal years, and interim periods within those years, beginning after December 15, 2018, and early adoption is permitted. Management is currently evaluating the impact of this pronouncement on XBiotech’s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3" w:name="page14"/>
    <w:bookmarkEnd w:id="13"/>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its Articles, the Company has an unlimited number of shares available for issuance with no par value.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From January through December 2016, 204 thousand shares of common stock were issued upon the exercise of stock options at a price of $0.74 to $19.09 per share for total proceeds of $1.1 million.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From November through December 2016, under the Common Stock Sales Agreement with H.C. Wainwright &amp; Co. LLC, the Company sold 145 thousand shares of common stock at a price between $13.60 to $14.17 per share for total proceeds of $1.8 million.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February 2017, under the Common Stock Sales Agreement with H.C. Wainwright &amp; Co. LLC, the Company sold 87 thousand shares of common stock at a price between $12.09 to $12.37 per share for total proceeds of $1.0 million.</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March 2017, the Company sold 2.4 million shares of common stock for total proceeds of approximately $31.6 million from investors. Also, in March 2017, 66 thousand shares of common stock were issued upon the exercise of stock options at the price between $2.50 to $14.71 per share for total proceeds of $315 thousand.</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From April to June 2017, 205 thousand shares of common stock were issued upon the exercise of stock options at a price of $0.93 to $10 per share for a total of $454 thousand.</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September 2017, 18 thousand shares of common stock were issued upon the exercise of stock options at a price of $2.50 per share for a total of $45 thousand.</w:t>
      </w:r>
    </w:p>
    <w:p>
      <w:pPr>
        <w:spacing w:after="0" w:line="16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Options</w:t>
      </w:r>
    </w:p>
    <w:p>
      <w:pPr>
        <w:spacing w:after="0" w:line="229"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On November 11, 2005 and April 1, 2015, the board of directors of the Company adopted stock option plans (“the Plans”) pursuant to which the Company may grant incentive stock options to directors, officers, employees or consultants of the Company or an affiliate or other persons as the Compensation Committee may approve.</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All options will be non-transferable and may be exercised only by the participant, or in the event of the death of the participant, a legal representative until the earlier of the options’ expiry date or the first anniversary of the participant’s death, or such other date as may be specified by the Compensation Committee.</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term of the options is at the discretion of the Compensation Committee, but may not exceed 10 years from the grant date. The options expire on the earlier of the expiration date or the date three months following the day on which the participant ceases to be an officer or employee of or consultant to the Company, or in the event of the termination of the participant with cause, the date of such termination. Options held by non-employee Directors have an exercise period coterminous with the term of the options.</w:t>
      </w:r>
    </w:p>
    <w:p>
      <w:pPr>
        <w:spacing w:after="0" w:line="187"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The number of common shares reserved for issuance to any one person pursuant to this Plan shall not, in aggregate, exceed 5% of the total number of outstanding common shares. The exercise price per common share under each option will be the fair market value of such shares at the time of the grant. Upon stock option exercise, the Company issues new shares of common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changes in common stock options issued under the Plans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1460" w:type="dxa"/>
            <w:vAlign w:val="bottom"/>
            <w:gridSpan w:val="3"/>
          </w:tcPr>
          <w:p>
            <w:pPr>
              <w:ind w:left="40"/>
              <w:spacing w:after="0"/>
              <w:rPr>
                <w:sz w:val="20"/>
                <w:szCs w:val="20"/>
                <w:color w:val="auto"/>
              </w:rPr>
            </w:pPr>
            <w:r>
              <w:rPr>
                <w:rFonts w:ascii="Arial" w:cs="Arial" w:eastAsia="Arial" w:hAnsi="Arial"/>
                <w:sz w:val="18"/>
                <w:szCs w:val="18"/>
                <w:b w:val="1"/>
                <w:bCs w:val="1"/>
                <w:color w:val="auto"/>
                <w:w w:val="88"/>
              </w:rPr>
              <w:t>Weighted-Average</w:t>
            </w:r>
          </w:p>
        </w:tc>
        <w:tc>
          <w:tcPr>
            <w:tcW w:w="0" w:type="dxa"/>
            <w:vAlign w:val="bottom"/>
          </w:tcPr>
          <w:p>
            <w:pPr>
              <w:spacing w:after="0"/>
              <w:rPr>
                <w:sz w:val="1"/>
                <w:szCs w:val="1"/>
                <w:color w:val="auto"/>
              </w:rPr>
            </w:pPr>
          </w:p>
        </w:tc>
      </w:tr>
      <w:tr>
        <w:trPr>
          <w:trHeight w:val="234"/>
        </w:trPr>
        <w:tc>
          <w:tcPr>
            <w:tcW w:w="5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Options</w:t>
            </w:r>
          </w:p>
        </w:tc>
        <w:tc>
          <w:tcPr>
            <w:tcW w:w="520" w:type="dxa"/>
            <w:vAlign w:val="bottom"/>
          </w:tcPr>
          <w:p>
            <w:pPr>
              <w:spacing w:after="0"/>
              <w:rPr>
                <w:sz w:val="20"/>
                <w:szCs w:val="20"/>
                <w:color w:val="auto"/>
              </w:rPr>
            </w:pPr>
          </w:p>
        </w:tc>
        <w:tc>
          <w:tcPr>
            <w:tcW w:w="98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90"/>
              </w:rPr>
              <w:t>Price</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shd w:val="clear" w:color="auto" w:fill="CCEEFF"/>
          </w:tcPr>
          <w:p>
            <w:pPr>
              <w:jc w:val="center"/>
              <w:ind w:left="1550"/>
              <w:spacing w:after="0"/>
              <w:rPr>
                <w:sz w:val="20"/>
                <w:szCs w:val="20"/>
                <w:color w:val="auto"/>
              </w:rPr>
            </w:pPr>
            <w:r>
              <w:rPr>
                <w:rFonts w:ascii="Arial" w:cs="Arial" w:eastAsia="Arial" w:hAnsi="Arial"/>
                <w:sz w:val="18"/>
                <w:szCs w:val="18"/>
                <w:color w:val="auto"/>
                <w:w w:val="90"/>
              </w:rPr>
              <w:t>Options outstanding at December 31, 2016</w:t>
            </w:r>
          </w:p>
        </w:tc>
        <w:tc>
          <w:tcPr>
            <w:tcW w:w="17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5,188,658</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34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8"/>
              </w:rPr>
              <w:t>$21.99</w:t>
            </w:r>
          </w:p>
        </w:tc>
        <w:tc>
          <w:tcPr>
            <w:tcW w:w="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jc w:val="center"/>
              <w:ind w:left="1550"/>
              <w:spacing w:after="0"/>
              <w:rPr>
                <w:sz w:val="20"/>
                <w:szCs w:val="20"/>
                <w:color w:val="auto"/>
              </w:rPr>
            </w:pPr>
            <w:r>
              <w:rPr>
                <w:rFonts w:ascii="Arial" w:cs="Arial" w:eastAsia="Arial" w:hAnsi="Arial"/>
                <w:sz w:val="18"/>
                <w:szCs w:val="18"/>
                <w:color w:val="auto"/>
                <w:w w:val="89"/>
              </w:rPr>
              <w:t>Granted</w:t>
            </w:r>
          </w:p>
        </w:tc>
        <w:tc>
          <w:tcPr>
            <w:tcW w:w="3140" w:type="dxa"/>
            <w:vAlign w:val="bottom"/>
            <w:gridSpan w:val="2"/>
          </w:tcPr>
          <w:p>
            <w:pPr>
              <w:jc w:val="right"/>
              <w:ind w:right="70"/>
              <w:spacing w:after="0"/>
              <w:rPr>
                <w:sz w:val="20"/>
                <w:szCs w:val="20"/>
                <w:color w:val="auto"/>
              </w:rPr>
            </w:pPr>
            <w:r>
              <w:rPr>
                <w:rFonts w:ascii="Arial" w:cs="Arial" w:eastAsia="Arial" w:hAnsi="Arial"/>
                <w:sz w:val="18"/>
                <w:szCs w:val="18"/>
                <w:color w:val="auto"/>
              </w:rPr>
              <w:t>1,242,000</w:t>
            </w:r>
          </w:p>
        </w:tc>
        <w:tc>
          <w:tcPr>
            <w:tcW w:w="520" w:type="dxa"/>
            <w:vAlign w:val="bottom"/>
          </w:tcPr>
          <w:p>
            <w:pPr>
              <w:jc w:val="right"/>
              <w:spacing w:after="0"/>
              <w:rPr>
                <w:sz w:val="20"/>
                <w:szCs w:val="20"/>
                <w:color w:val="auto"/>
              </w:rPr>
            </w:pPr>
            <w:r>
              <w:rPr>
                <w:rFonts w:ascii="Arial" w:cs="Arial" w:eastAsia="Arial" w:hAnsi="Arial"/>
                <w:sz w:val="18"/>
                <w:szCs w:val="18"/>
                <w:color w:val="auto"/>
              </w:rPr>
              <w:t>4.24</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Pr>
          <w:p>
            <w:pPr>
              <w:ind w:left="80"/>
              <w:spacing w:after="0"/>
              <w:rPr>
                <w:sz w:val="20"/>
                <w:szCs w:val="20"/>
                <w:color w:val="auto"/>
              </w:rPr>
            </w:pPr>
            <w:r>
              <w:rPr>
                <w:rFonts w:ascii="Arial" w:cs="Arial" w:eastAsia="Arial" w:hAnsi="Arial"/>
                <w:sz w:val="18"/>
                <w:szCs w:val="18"/>
                <w:color w:val="auto"/>
              </w:rPr>
              <w:t>12.62</w:t>
            </w:r>
          </w:p>
        </w:tc>
        <w:tc>
          <w:tcPr>
            <w:tcW w:w="1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jc w:val="center"/>
              <w:ind w:left="1550"/>
              <w:spacing w:after="0"/>
              <w:rPr>
                <w:sz w:val="20"/>
                <w:szCs w:val="20"/>
                <w:color w:val="auto"/>
              </w:rPr>
            </w:pPr>
            <w:r>
              <w:rPr>
                <w:rFonts w:ascii="Arial" w:cs="Arial" w:eastAsia="Arial" w:hAnsi="Arial"/>
                <w:sz w:val="18"/>
                <w:szCs w:val="18"/>
                <w:color w:val="auto"/>
                <w:w w:val="88"/>
              </w:rPr>
              <w:t>Exercised</w:t>
            </w:r>
          </w:p>
        </w:tc>
        <w:tc>
          <w:tcPr>
            <w:tcW w:w="3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(405,167)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14.71</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tcPr>
          <w:p>
            <w:pPr>
              <w:jc w:val="center"/>
              <w:ind w:left="1550"/>
              <w:spacing w:after="0"/>
              <w:rPr>
                <w:sz w:val="20"/>
                <w:szCs w:val="20"/>
                <w:color w:val="auto"/>
              </w:rPr>
            </w:pPr>
            <w:r>
              <w:rPr>
                <w:rFonts w:ascii="Arial" w:cs="Arial" w:eastAsia="Arial" w:hAnsi="Arial"/>
                <w:sz w:val="18"/>
                <w:szCs w:val="18"/>
                <w:color w:val="auto"/>
                <w:w w:val="90"/>
              </w:rPr>
              <w:t>Forfeitures</w:t>
            </w:r>
          </w:p>
        </w:tc>
        <w:tc>
          <w:tcPr>
            <w:tcW w:w="3140" w:type="dxa"/>
            <w:vAlign w:val="bottom"/>
            <w:gridSpan w:val="2"/>
          </w:tcPr>
          <w:p>
            <w:pPr>
              <w:jc w:val="right"/>
              <w:ind w:right="10"/>
              <w:spacing w:after="0"/>
              <w:rPr>
                <w:sz w:val="20"/>
                <w:szCs w:val="20"/>
                <w:color w:val="auto"/>
              </w:rPr>
            </w:pPr>
            <w:r>
              <w:rPr>
                <w:rFonts w:ascii="Arial" w:cs="Arial" w:eastAsia="Arial" w:hAnsi="Arial"/>
                <w:sz w:val="18"/>
                <w:szCs w:val="18"/>
                <w:color w:val="auto"/>
              </w:rPr>
              <w:t>(474,451)</w:t>
            </w:r>
          </w:p>
        </w:tc>
        <w:tc>
          <w:tcPr>
            <w:tcW w:w="520" w:type="dxa"/>
            <w:vAlign w:val="bottom"/>
          </w:tcPr>
          <w:p>
            <w:pPr>
              <w:jc w:val="right"/>
              <w:spacing w:after="0"/>
              <w:rPr>
                <w:sz w:val="20"/>
                <w:szCs w:val="20"/>
                <w:color w:val="auto"/>
              </w:rPr>
            </w:pPr>
            <w:r>
              <w:rPr>
                <w:rFonts w:ascii="Arial" w:cs="Arial" w:eastAsia="Arial" w:hAnsi="Arial"/>
                <w:sz w:val="18"/>
                <w:szCs w:val="18"/>
                <w:color w:val="auto"/>
              </w:rPr>
              <w:t>0.94</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Pr>
          <w:p>
            <w:pPr>
              <w:ind w:left="80"/>
              <w:spacing w:after="0"/>
              <w:rPr>
                <w:sz w:val="20"/>
                <w:szCs w:val="20"/>
                <w:color w:val="auto"/>
              </w:rPr>
            </w:pPr>
            <w:r>
              <w:rPr>
                <w:rFonts w:ascii="Arial" w:cs="Arial" w:eastAsia="Arial" w:hAnsi="Arial"/>
                <w:sz w:val="18"/>
                <w:szCs w:val="18"/>
                <w:color w:val="auto"/>
              </w:rPr>
              <w:t>21.99</w:t>
            </w:r>
          </w:p>
        </w:tc>
        <w:tc>
          <w:tcPr>
            <w:tcW w:w="1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top w:val="single" w:sz="8" w:color="CCEEFF"/>
              <w:bottom w:val="single" w:sz="8" w:color="CCEEFF"/>
            </w:tcBorders>
            <w:shd w:val="clear" w:color="auto" w:fill="CCEEFF"/>
          </w:tcPr>
          <w:p>
            <w:pPr>
              <w:jc w:val="center"/>
              <w:ind w:left="1530"/>
              <w:spacing w:after="0"/>
              <w:rPr>
                <w:sz w:val="20"/>
                <w:szCs w:val="20"/>
                <w:color w:val="auto"/>
              </w:rPr>
            </w:pPr>
            <w:r>
              <w:rPr>
                <w:rFonts w:ascii="Arial" w:cs="Arial" w:eastAsia="Arial" w:hAnsi="Arial"/>
                <w:sz w:val="18"/>
                <w:szCs w:val="18"/>
                <w:color w:val="auto"/>
                <w:w w:val="89"/>
              </w:rPr>
              <w:t>Options outstanding at September 30, 2017</w:t>
            </w:r>
          </w:p>
        </w:tc>
        <w:tc>
          <w:tcPr>
            <w:tcW w:w="174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5,551,040</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tcBorders>
              <w:top w:val="single" w:sz="8" w:color="auto"/>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8"/>
              </w:rPr>
              <w:t>$21.99</w:t>
            </w: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740" w:type="dxa"/>
            <w:vAlign w:val="bottom"/>
            <w:vMerge w:val="restart"/>
          </w:tcPr>
          <w:p>
            <w:pPr>
              <w:jc w:val="right"/>
              <w:ind w:right="1170"/>
              <w:spacing w:after="0"/>
              <w:rPr>
                <w:sz w:val="20"/>
                <w:szCs w:val="20"/>
                <w:color w:val="auto"/>
              </w:rPr>
            </w:pPr>
            <w:r>
              <w:rPr>
                <w:rFonts w:ascii="Arial" w:cs="Arial" w:eastAsia="Arial" w:hAnsi="Arial"/>
                <w:sz w:val="18"/>
                <w:szCs w:val="18"/>
                <w:color w:val="auto"/>
              </w:rPr>
              <w:t>14</w:t>
            </w: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34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340" w:type="dxa"/>
            <w:vAlign w:val="bottom"/>
            <w:shd w:val="clear" w:color="auto" w:fill="000000"/>
          </w:tcPr>
          <w:p>
            <w:pPr>
              <w:spacing w:after="0"/>
              <w:rPr>
                <w:sz w:val="5"/>
                <w:szCs w:val="5"/>
                <w:color w:val="auto"/>
              </w:rPr>
            </w:pPr>
          </w:p>
        </w:tc>
        <w:tc>
          <w:tcPr>
            <w:tcW w:w="174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904" w:right="219" w:bottom="1440" w:gutter="0" w:footer="0" w:header="0"/>
        </w:sectPr>
      </w:pPr>
    </w:p>
    <w:bookmarkStart w:id="14" w:name="page15"/>
    <w:bookmarkEnd w:id="14"/>
    <w:p>
      <w:pPr>
        <w:ind w:firstLine="648"/>
        <w:spacing w:after="0" w:line="277" w:lineRule="auto"/>
        <w:rPr>
          <w:sz w:val="20"/>
          <w:szCs w:val="20"/>
          <w:color w:val="auto"/>
        </w:rPr>
      </w:pPr>
      <w:r>
        <w:rPr>
          <w:rFonts w:ascii="Arial" w:cs="Arial" w:eastAsia="Arial" w:hAnsi="Arial"/>
          <w:sz w:val="18"/>
          <w:szCs w:val="18"/>
          <w:color w:val="auto"/>
        </w:rPr>
        <w:t>As of September 30, 2017, there was approximately $3.8 million of unrecognized compensation cost, related to stock options granted under the Plans which will be amortized to stock compensation expense over the next 2.40 years.</w:t>
      </w:r>
    </w:p>
    <w:p>
      <w:pPr>
        <w:spacing w:after="0" w:line="166"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XBiotech Corporate officers, Queena Han (VP of Finance) and John Simard (President and CEO), XBiotech Inc., and certain directors were named defendants in securities class action civil suits filed in federal court at the U.S. District Court for the Western District of Texas, in Austin, Texas and state court at the Los Angeles County Superior Court, in California. In the California action, the underwriter WR Hambrecht &amp; Co., LLC was also named as a defendant. These civil suits were filed on December 1, 2015. The foundation for both suits are similar in that the plaintiffs allege the officers of the Company made false and misleading statements, violating the securities laws, in the IPO documents in April 2015. Specifically, these alleged false statements in the IPO documents are in relation to the European Phase III clinical trial for Xilonix™. The allegations focus on a press release posted by XBiotech on November 23, 2015, explaining certain issues with patient data. Plaintiffs allege the company knew of these issues during the IPO and neglected to disclose them in supporting documentation filed with the Security and Exchange Commission (SEC). As a result of the news release, XBiotech (traded on the NASDAQ) stock declined. The resulting securities class action lawsuits are seeking relief for plaintiffs who report financial losses due to the alleged false and misleading statements. In September 2016, a stay was granted in the California case. Plaintiffs were, at that time, left with the opportunity to re-file in Texas prior to the decision on the motion to dismiss. Plaintiffs did not re-file in Texas before the case was dismissed with prejudice in October 2016. Plaintiffs sought to re-open the case in California. A hearing to address whether the case should be dismissed, was scheduled June 7, 2017. At the hearing, counsel for XBiotech argued that California was a forum non conveniens given the nexus of the allegations in the suit took place in Texas. The judge granted the forum non conveniens motion, finding that the case does not belong in California. As a result, the case is stayed rather than dismissed per California procedural rules. Plaintiffs were compelled to re-file in Texas.</w:t>
      </w:r>
    </w:p>
    <w:p>
      <w:pPr>
        <w:spacing w:after="0" w:line="18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 status conference on the California case is tentatively scheduled for January 2018. Meanwhile, the plaintiffs re-filed their suit in Travis County district court, located in Austin, Texas, on July 6, 2017. A hearing date has yet to be scheduled in this matter. Subsequently, XBiotech won on its motion to remove the case from state court to federal court at the U.S. District Court for the Western District of Texas, Austin Division. Counsel further argued for a motion to stay the case, which was granted on October 6, 2017, taking into account the upcoming hearings at the U.S. Supreme Court for Cyan, Inc. v. Beaver County Employees Retirement Fund. At issue in this is case is whether state courts lack subject matter jurisdiction over covered class actions that allege only Securities Act of 1933 claims. Arguments before the Supreme Court are scheduled for November 28, 2017. A decision from the Court is expected in Spring 2018, at which time we will learn more about its impact on whether plaintiffs may return to litigate Rezko v. XBiotech in state court.</w:t>
      </w:r>
    </w:p>
    <w:p>
      <w:pPr>
        <w:spacing w:after="0" w:line="163"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6"/>
          <w:szCs w:val="16"/>
          <w:color w:val="auto"/>
        </w:rPr>
        <w:t>XBiotech Corporate Officers, Queena Han (VP of Finance) and John Simard (President and CEO), and XBiotech, Inc. were named defendants in a securities class action civil suit filed in federal court at the U.S. District Court for the Western District of Texas in Austin, Texas. This civil suit was filed on October 26, 2017. The plaintiff alleges that officers of the Company made false and misleading statements, violating securities laws, in documents filed with the Securities Exchange Commission (SEC), in regulatory filings, press releases, and other public statements. Specifically, these alleged false statements are</w:t>
      </w:r>
    </w:p>
    <w:p>
      <w:pPr>
        <w:spacing w:after="0" w:line="2"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in relation to the European Phase III clinical trial for Xilonix</w:t>
      </w:r>
      <w:r>
        <w:rPr>
          <w:rFonts w:ascii="Arial" w:cs="Arial" w:eastAsia="Arial" w:hAnsi="Arial"/>
          <w:sz w:val="30"/>
          <w:szCs w:val="30"/>
          <w:color w:val="auto"/>
          <w:vertAlign w:val="superscript"/>
        </w:rPr>
        <w:t>TM</w:t>
      </w:r>
      <w:r>
        <w:rPr>
          <w:rFonts w:ascii="Arial" w:cs="Arial" w:eastAsia="Arial" w:hAnsi="Arial"/>
          <w:sz w:val="18"/>
          <w:szCs w:val="18"/>
          <w:color w:val="auto"/>
        </w:rPr>
        <w:t>. Plaintiff alleges that as a result of these false and misleading statements, he and potential members of the class purchased the Company’s securities at artificially inflated prices. The resulting securities class action lawsuit is seeking relief for plaintiffs who reported financial losses as a result of the alleged false and misleading statements. There is not currently a material financial impact from this lawsuit. We cannot measure the future financial impact at this time, if any.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XBiotech Inc. (“XBiotech” or the “Company) is a pre-market biopharmaceutical company engaged in discovering and developing True Human™ monoclonal antibodies for treating a variety of diseases. True Human™ monoclonal antibodies are those which occur naturally in human beings—as opposed to being derived from animal immunization or otherwise engineered. We believe that naturally occurring monoclonal antibodies have the potential to be safer and more effective than their non-naturally occurring counterparts. XBiotech is focused on developing its True Human™ pipeline and manufacturing system.</w:t>
      </w:r>
    </w:p>
    <w:p>
      <w:pPr>
        <w:spacing w:after="0" w:line="154"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have never been profitable and, as of September 30, 2017, we had an accumulated deficit of $209.3 million. We had net losses of $6.2 million and $25.9 million for the three months and nine months ended September 30, 2017, respectively, compared to $12.5 million and $36.4 million for the three months and nine months ended September 30, 2016, respectively. We expect to incur significant operating losses for the foreseeable future as we advance our drug candidates from discovery through preclinical testing and clinical trials and seek regulatory approval and eventual commercialization. In addition to these increasing research and development expenses, we expect general and administrative costs to increase as we continue to operate as a public company. We will need to generate significant revenues to achieve profitability, and we may never do so. As of September 30, 2017, we had 56 employees compared to 106 as of September 30, 2016. This decrease was due to a re-organization of the Company that occurred following the recent material events surrounding the Phase 3 oncology studies.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The Company’s Phase III symptomatic colorectal cancer study has been completed and XBiotech proceeded with the submission of a Marketing Authorization Application (MAA) to the European Medicines Agency (EMA) in March 2016. In May 2017, the Company announced that it received a negative opinion from the EMA’s Committee for Medicinal Products for Human Use (“CHMP”) for the MAA in Europe. XBiotech subsequently pursued the EMA’s re-examination procedure in which new Rapporteurs were assigned to reevaluate the initial opinion after receiving the Company’s grounds for re-</w:t>
      </w:r>
    </w:p>
    <w:p>
      <w:pPr>
        <w:spacing w:after="0" w:line="2" w:lineRule="exact"/>
        <w:rPr>
          <w:sz w:val="20"/>
          <w:szCs w:val="20"/>
          <w:color w:val="auto"/>
        </w:rPr>
      </w:pPr>
    </w:p>
    <w:p>
      <w:pPr>
        <w:ind w:right="400"/>
        <w:spacing w:after="0" w:line="205" w:lineRule="auto"/>
        <w:rPr>
          <w:sz w:val="20"/>
          <w:szCs w:val="20"/>
          <w:color w:val="auto"/>
        </w:rPr>
      </w:pPr>
      <w:r>
        <w:rPr>
          <w:rFonts w:ascii="Arial" w:cs="Arial" w:eastAsia="Arial" w:hAnsi="Arial"/>
          <w:sz w:val="18"/>
          <w:szCs w:val="18"/>
          <w:color w:val="auto"/>
        </w:rPr>
        <w:t>examination. On September 14</w:t>
      </w:r>
      <w:r>
        <w:rPr>
          <w:rFonts w:ascii="Arial" w:cs="Arial" w:eastAsia="Arial" w:hAnsi="Arial"/>
          <w:sz w:val="30"/>
          <w:szCs w:val="30"/>
          <w:color w:val="auto"/>
          <w:vertAlign w:val="superscript"/>
        </w:rPr>
        <w:t>th</w:t>
      </w:r>
      <w:r>
        <w:rPr>
          <w:rFonts w:ascii="Arial" w:cs="Arial" w:eastAsia="Arial" w:hAnsi="Arial"/>
          <w:sz w:val="18"/>
          <w:szCs w:val="18"/>
          <w:color w:val="auto"/>
        </w:rPr>
        <w:t>, the CHMP issued its opinion on the re-examination of the Company’s MAA and maintained its initial negative opinion issued in May 2017.</w:t>
      </w:r>
    </w:p>
    <w:p>
      <w:pPr>
        <w:spacing w:after="0" w:line="203"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 xml:space="preserve">Based on the positive, top-line results announced earlier this year in two Phase II studies, one which evaluated MABp1 for the treatment of Hidradenitis Suppurativa and one using the Company’s proprietary 514G3 True Human antibody for the treatment of </w:t>
      </w:r>
      <w:r>
        <w:rPr>
          <w:rFonts w:ascii="Arial" w:cs="Arial" w:eastAsia="Arial" w:hAnsi="Arial"/>
          <w:sz w:val="17"/>
          <w:szCs w:val="17"/>
          <w:i w:val="1"/>
          <w:iCs w:val="1"/>
          <w:color w:val="auto"/>
        </w:rPr>
        <w:t>Staphylococcus aureus</w:t>
      </w:r>
      <w:r>
        <w:rPr>
          <w:rFonts w:ascii="Arial" w:cs="Arial" w:eastAsia="Arial" w:hAnsi="Arial"/>
          <w:sz w:val="17"/>
          <w:szCs w:val="17"/>
          <w:color w:val="auto"/>
        </w:rPr>
        <w:t xml:space="preserve"> bloodstream infections, plans for advanced studies in these indications are on-going. We are currently seeking guidance from the FDA to help with clinical protocol development for both studies to enable better agreement on what will be sufficient data to seek product registration.</w:t>
      </w:r>
    </w:p>
    <w:p>
      <w:pPr>
        <w:spacing w:after="0" w:line="17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Company continues to be subject to a number of risks common to companies in similar stages of development. Principal among these risks are the uncertainties of technological innovations, dependence on key individuals, development of the same or similar technological innovations by the Company’s competitors and protection of proprietary technology. The Company’s ability to fund its planned clinical operations, including completion of its planned clinical trials, is expected to depend on the amount and timing of cash receipts from future collaboration or product sales and/or financing transactions. The Company believes that its cash and cash equivalents of $39.0 million at September 30, 2017 will enable the Company to achieve some key inflection points, including advanced clinical studies in certain indication(s), as well as on-going R&amp;D efforts for the Company’s pre-clinical pipeline. Based on our research and development plans and our timing expectations related to the progress of our programs, we expect that our cash and cash equivalents as of September 30, 2017 will enable us to fund our operating expenses and capital expenditure requirements through 2018. We have based this estimate on assumptions that may prove to be wrong, and we could utilize our available capital resources sooner than we currently expect.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Revenues</w:t>
      </w:r>
    </w:p>
    <w:p>
      <w:pPr>
        <w:spacing w:after="0" w:line="27" w:lineRule="exact"/>
        <w:rPr>
          <w:sz w:val="20"/>
          <w:szCs w:val="20"/>
          <w:color w:val="auto"/>
        </w:rPr>
      </w:pPr>
    </w:p>
    <w:p>
      <w:pPr>
        <w:ind w:right="860" w:firstLine="648"/>
        <w:spacing w:after="0" w:line="261" w:lineRule="auto"/>
        <w:rPr>
          <w:sz w:val="20"/>
          <w:szCs w:val="20"/>
          <w:color w:val="auto"/>
        </w:rPr>
      </w:pPr>
      <w:r>
        <w:rPr>
          <w:rFonts w:ascii="Arial" w:cs="Arial" w:eastAsia="Arial" w:hAnsi="Arial"/>
          <w:sz w:val="18"/>
          <w:szCs w:val="18"/>
          <w:color w:val="auto"/>
        </w:rPr>
        <w:t>To date, we have not generated any revenue. Our ability to generate revenue and become profitable depends on our ability to successfully commercialize our lead product candidate, Xilonix™, or any other product candidate we may advance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Research and development expense consists of expenses incurred in connection with identifying and developing our drug candidates. These expenses consist primarily of salaries and related expenses, stock-based compensation, the purchase of equipment, laboratory and manufacturing supplies, facility costs, costs for preclinical and clinical research, development of quality control systems, quality assurance programs and manufacturing processes. We charge all research and development expenses to operations as incurred.</w:t>
      </w:r>
    </w:p>
    <w:p>
      <w:pPr>
        <w:spacing w:after="0" w:line="187"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Clinical development timelines, likelihood of success and total costs vary widely. 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 From inception through September 30, 2017, we have recorded total research and development expenses, including share-based compensation, of $164.1 million. Our total research and development expenses for the three months and nine months ended September 30, 2017 were $4.9 million and $20.5 million, respectively, compared to $9.8 million and $28.8 million for the three months and nine months ended September 30, 2016, respectively. Share-based compensation was $0.2 million for the three months and nine months ended September 30, 2017, respectively, compared to $0.6 million and $1.7 million for the three months and nine months ended September 30, 2016, respectively.</w:t>
      </w:r>
    </w:p>
    <w:p>
      <w:pPr>
        <w:spacing w:after="0" w:line="16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Research and development expenses, as a percentage of total operating expenses for the three months and nine months ended September 30, 2017 were 75% and 77%, respectively, compared to 78% and 79% for the three months and nine months ended September 30, 2016, respectively. The percentages, </w:t>
      </w:r>
      <w:r>
        <w:rPr>
          <w:rFonts w:ascii="Arial" w:cs="Arial" w:eastAsia="Arial" w:hAnsi="Arial"/>
          <w:sz w:val="17"/>
          <w:szCs w:val="17"/>
          <w:i w:val="1"/>
          <w:iCs w:val="1"/>
          <w:color w:val="auto"/>
        </w:rPr>
        <w:t xml:space="preserve">excluding </w:t>
      </w:r>
      <w:r>
        <w:rPr>
          <w:rFonts w:ascii="Arial" w:cs="Arial" w:eastAsia="Arial" w:hAnsi="Arial"/>
          <w:sz w:val="17"/>
          <w:szCs w:val="17"/>
          <w:color w:val="auto"/>
        </w:rPr>
        <w:t>stock-based compensation, for the three months and nine months ended September 30, 2017 were 77% and 83%, respectively, compared to 81%</w:t>
      </w:r>
      <w:r>
        <w:rPr>
          <w:rFonts w:ascii="Arial" w:cs="Arial" w:eastAsia="Arial" w:hAnsi="Arial"/>
          <w:sz w:val="17"/>
          <w:szCs w:val="17"/>
          <w:i w:val="1"/>
          <w:iCs w:val="1"/>
          <w:color w:val="auto"/>
        </w:rPr>
        <w:t xml:space="preserve"> </w:t>
      </w:r>
      <w:r>
        <w:rPr>
          <w:rFonts w:ascii="Arial" w:cs="Arial" w:eastAsia="Arial" w:hAnsi="Arial"/>
          <w:sz w:val="17"/>
          <w:szCs w:val="17"/>
          <w:color w:val="auto"/>
        </w:rPr>
        <w:t>and 84% for the three months and nine months ended September 30, 2016, respectively.</w:t>
      </w:r>
    </w:p>
    <w:p>
      <w:pPr>
        <w:spacing w:after="0" w:line="17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clinical research and development costs may decrease going forward with the completion of all clinical studies to date. Although, expenses could increase due to the potential of pursuing advanced clinical studies in various indications.</w:t>
      </w:r>
    </w:p>
    <w:p>
      <w:pPr>
        <w:spacing w:after="0" w:line="170"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Based on the results of our preclinical studies, we anticipate that we will select drug candidates and research projects for further development on an ongoing basis in response to their preclinical and clinical success and commercial potential. For research and development candidates in early stages of development, it is premature to estimate when material net cash inflows from these projects might occur.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General and administrative expense consists primarily of salaries and related expenses for personnel in administrative, finance, business development and human resource functions, as well as the legal costs of pursuing patent protection of our intellectual property and patent filing and maintenance expenses, stock–based compensation, and professional fees for legal services. Our total general and administration expenses for the three months and nine months ended September 30, 2017 were $1.7 million and $6.0 million, respectively, compared to $2.7 million and $7.5 million for the three months and nine months ended September 30, 2016, respectively. Share-based compensation accounted for $0.2 million and $1.8 million for the three months and nine months ended September 30, 2017, respectively, compared to $0.6 million and $2.3 million for the three months and nine months ended September 30, 2016, respectively.</w:t>
      </w:r>
    </w:p>
    <w:p>
      <w:pPr>
        <w:spacing w:after="0" w:line="18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General and administrative expenses, as a percentage of total operating expenses for the three months and nine months ended September 30, 2017 were 25% and 23%, respectively, compared to 22% and 21% for the three months and nine months ended September 30, 2016, respectively. The percentages, </w:t>
      </w:r>
      <w:r>
        <w:rPr>
          <w:rFonts w:ascii="Arial" w:cs="Arial" w:eastAsia="Arial" w:hAnsi="Arial"/>
          <w:sz w:val="17"/>
          <w:szCs w:val="17"/>
          <w:i w:val="1"/>
          <w:iCs w:val="1"/>
          <w:color w:val="auto"/>
        </w:rPr>
        <w:t xml:space="preserve">excluding </w:t>
      </w:r>
      <w:r>
        <w:rPr>
          <w:rFonts w:ascii="Arial" w:cs="Arial" w:eastAsia="Arial" w:hAnsi="Arial"/>
          <w:sz w:val="17"/>
          <w:szCs w:val="17"/>
          <w:color w:val="auto"/>
        </w:rPr>
        <w:t>stock-based compensation, for the three months and nine months ended September 30, 2017 were 23% and 17%, respectively, compared to 19%</w:t>
      </w:r>
      <w:r>
        <w:rPr>
          <w:rFonts w:ascii="Arial" w:cs="Arial" w:eastAsia="Arial" w:hAnsi="Arial"/>
          <w:sz w:val="17"/>
          <w:szCs w:val="17"/>
          <w:i w:val="1"/>
          <w:iCs w:val="1"/>
          <w:color w:val="auto"/>
        </w:rPr>
        <w:t xml:space="preserve"> </w:t>
      </w:r>
      <w:r>
        <w:rPr>
          <w:rFonts w:ascii="Arial" w:cs="Arial" w:eastAsia="Arial" w:hAnsi="Arial"/>
          <w:sz w:val="17"/>
          <w:szCs w:val="17"/>
          <w:color w:val="auto"/>
        </w:rPr>
        <w:t>and 16% for the three months and nine months ended September 30, 2016, respectively.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us to make judgments, estimates and assumptions in the preparation of our consolidated financial statements and accompanying notes. Actual results could differ from those estimates. We believe there have been no significant changes in our critical accounting policies as discussed in our Annual Report on Form 10-K for the year ended December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record any revenue during the three months and nine months ended September 30,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Research and Development costs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8"/>
                <w:szCs w:val="18"/>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b w:val="1"/>
                <w:bCs w:val="1"/>
                <w:color w:val="auto"/>
              </w:rPr>
              <w:t>Increase</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60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1"/>
              </w:rPr>
              <w:t>(Decrease)</w:t>
            </w: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6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Salaries and related expenses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(726)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6020" w:type="dxa"/>
            <w:vAlign w:val="bottom"/>
          </w:tcPr>
          <w:p>
            <w:pPr>
              <w:jc w:val="right"/>
              <w:ind w:right="810"/>
              <w:spacing w:after="0"/>
              <w:rPr>
                <w:sz w:val="20"/>
                <w:szCs w:val="20"/>
                <w:color w:val="auto"/>
              </w:rPr>
            </w:pPr>
            <w:r>
              <w:rPr>
                <w:rFonts w:ascii="Arial" w:cs="Arial" w:eastAsia="Arial" w:hAnsi="Arial"/>
                <w:sz w:val="18"/>
                <w:szCs w:val="18"/>
                <w:color w:val="auto"/>
              </w:rPr>
              <w:t>Laboratory and manufacturing supplies</w:t>
            </w: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3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2,217</w:t>
            </w:r>
          </w:p>
        </w:tc>
        <w:tc>
          <w:tcPr>
            <w:tcW w:w="26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(1,916)</w:t>
            </w:r>
          </w:p>
        </w:tc>
        <w:tc>
          <w:tcPr>
            <w:tcW w:w="13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6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Clinical trials and sponsored research</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1,772</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3,598</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(1,826)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6020" w:type="dxa"/>
            <w:vAlign w:val="bottom"/>
          </w:tcPr>
          <w:p>
            <w:pPr>
              <w:jc w:val="right"/>
              <w:ind w:right="81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3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565</w:t>
            </w:r>
          </w:p>
        </w:tc>
        <w:tc>
          <w:tcPr>
            <w:tcW w:w="26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(348)</w:t>
            </w:r>
          </w:p>
        </w:tc>
        <w:tc>
          <w:tcPr>
            <w:tcW w:w="13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6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1,373</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1,401</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4"/>
        </w:trPr>
        <w:tc>
          <w:tcPr>
            <w:tcW w:w="6020" w:type="dxa"/>
            <w:vAlign w:val="bottom"/>
          </w:tcPr>
          <w:p>
            <w:pPr>
              <w:jc w:val="right"/>
              <w:ind w:right="81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4,930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9,774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(4,844)</w:t>
            </w: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Nine Months Ended</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Pr>
          <w:p>
            <w:pPr>
              <w:ind w:left="100"/>
              <w:spacing w:after="0"/>
              <w:rPr>
                <w:sz w:val="20"/>
                <w:szCs w:val="20"/>
                <w:color w:val="auto"/>
              </w:rPr>
            </w:pPr>
            <w:r>
              <w:rPr>
                <w:rFonts w:ascii="Arial" w:cs="Arial" w:eastAsia="Arial" w:hAnsi="Arial"/>
                <w:sz w:val="18"/>
                <w:szCs w:val="18"/>
                <w:b w:val="1"/>
                <w:bCs w:val="1"/>
                <w:color w:val="auto"/>
                <w:w w:val="87"/>
              </w:rPr>
              <w:t>Increase</w:t>
            </w:r>
          </w:p>
        </w:tc>
        <w:tc>
          <w:tcPr>
            <w:tcW w:w="620" w:type="dxa"/>
            <w:vAlign w:val="bottom"/>
          </w:tcPr>
          <w:p>
            <w:pPr>
              <w:spacing w:after="0"/>
              <w:rPr>
                <w:sz w:val="18"/>
                <w:szCs w:val="18"/>
                <w:color w:val="auto"/>
              </w:rPr>
            </w:pPr>
          </w:p>
        </w:tc>
        <w:tc>
          <w:tcPr>
            <w:tcW w:w="1420" w:type="dxa"/>
            <w:vAlign w:val="bottom"/>
          </w:tcPr>
          <w:p>
            <w:pPr>
              <w:ind w:left="6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60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(Decrease)</w:t>
            </w: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5,250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5,829</w:t>
            </w:r>
          </w:p>
        </w:tc>
        <w:tc>
          <w:tcPr>
            <w:tcW w:w="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Laboratory and manufacturing supplies</w:t>
            </w: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2,313</w:t>
            </w:r>
          </w:p>
        </w:tc>
        <w:tc>
          <w:tcPr>
            <w:tcW w:w="3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5,755</w:t>
            </w:r>
          </w:p>
        </w:tc>
        <w:tc>
          <w:tcPr>
            <w:tcW w:w="7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1"/>
              </w:rPr>
              <w:t>(3,442)</w:t>
            </w:r>
          </w:p>
        </w:tc>
        <w:tc>
          <w:tcPr>
            <w:tcW w:w="14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and sponsored research</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8,713</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11,911</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(3,198)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3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1,749</w:t>
            </w:r>
          </w:p>
        </w:tc>
        <w:tc>
          <w:tcPr>
            <w:tcW w:w="7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1"/>
              </w:rPr>
              <w:t>(1,512)</w:t>
            </w:r>
          </w:p>
        </w:tc>
        <w:tc>
          <w:tcPr>
            <w:tcW w:w="14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4,005</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3,557</w:t>
            </w:r>
          </w:p>
        </w:tc>
        <w:tc>
          <w:tcPr>
            <w:tcW w:w="7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448</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4"/>
        </w:trPr>
        <w:tc>
          <w:tcPr>
            <w:tcW w:w="602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20,518</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28,801</w:t>
            </w:r>
          </w:p>
        </w:tc>
        <w:tc>
          <w:tcPr>
            <w:tcW w:w="760" w:type="dxa"/>
            <w:vAlign w:val="bottom"/>
          </w:tcPr>
          <w:p>
            <w:pPr>
              <w:ind w:lef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1"/>
              </w:rPr>
              <w:t>(8,283)</w:t>
            </w: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187"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w:t>
      </w:r>
    </w:p>
    <w:p>
      <w:pPr>
        <w:spacing w:after="0" w:line="14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Research and development expenses decreased by 50% to $4.9 million for the three months ended September 30, 2017 compared to $9.8 million for the three months ended September 30, 2016. Research and development expenses decreased by 29% to $20.5 million for the nine months ended September 30, 2017 compared to $28.8 million for the nine months ended September 30, 2016.</w:t>
      </w:r>
    </w:p>
    <w:p>
      <w:pPr>
        <w:spacing w:after="0" w:line="181"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three month decrease in research and development expenses was mainly due to a $1.9 million decrease in laboratory and manufacturing supplies expense, due to a reduction in clinical trial drug manufacturing. In addition, there was a decrease in clinical trials and sponsored research expense due to the completion of a global trial. Salary and related expenses also decreased due to the reduction of our research and development workforce from 95 to 49.</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8" w:name="page19"/>
    <w:bookmarkEnd w:id="18"/>
    <w:p>
      <w:pPr>
        <w:ind w:right="60" w:firstLine="648"/>
        <w:spacing w:after="0" w:line="259" w:lineRule="auto"/>
        <w:rPr>
          <w:sz w:val="20"/>
          <w:szCs w:val="20"/>
          <w:color w:val="auto"/>
        </w:rPr>
      </w:pPr>
      <w:r>
        <w:rPr>
          <w:rFonts w:ascii="Arial" w:cs="Arial" w:eastAsia="Arial" w:hAnsi="Arial"/>
          <w:sz w:val="18"/>
          <w:szCs w:val="18"/>
          <w:color w:val="auto"/>
        </w:rPr>
        <w:t>Compared to the nine months ended September 30, 2016, the research and development expense decrease in the nine months ended September 30, 2017 was primarily caused by the decrease in laboratory and manufacturing supplies expense. The clinical trials and sponsored research expense decrease was principally due to the reduced expense accrual and as a result of the the completion of a global trial. Stock-based compensation expenses also decreased due to the forfeiture of terminated employees’ stock options.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General and administrative costs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8"/>
                <w:szCs w:val="18"/>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b w:val="1"/>
                <w:bCs w:val="1"/>
                <w:color w:val="auto"/>
              </w:rPr>
              <w:t>Increase</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60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1"/>
              </w:rPr>
              <w:t>(Decrease)</w:t>
            </w: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(38)</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Patent filing expense</w:t>
            </w: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3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260" w:type="dxa"/>
            <w:vAlign w:val="bottom"/>
          </w:tcPr>
          <w:p>
            <w:pPr>
              <w:spacing w:after="0"/>
              <w:rPr>
                <w:sz w:val="18"/>
                <w:szCs w:val="18"/>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25</w:t>
            </w: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561</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Professional fees</w:t>
            </w: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3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1,063</w:t>
            </w:r>
          </w:p>
        </w:tc>
        <w:tc>
          <w:tcPr>
            <w:tcW w:w="26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(623)</w:t>
            </w:r>
          </w:p>
        </w:tc>
        <w:tc>
          <w:tcPr>
            <w:tcW w:w="13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428</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481</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4"/>
        </w:trPr>
        <w:tc>
          <w:tcPr>
            <w:tcW w:w="602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1,663</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2,685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(1,022)</w:t>
            </w:r>
          </w:p>
        </w:tc>
        <w:tc>
          <w:tcPr>
            <w:tcW w:w="130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Nine Months Ended</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8"/>
                <w:szCs w:val="18"/>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b w:val="1"/>
                <w:bCs w:val="1"/>
                <w:color w:val="auto"/>
              </w:rPr>
              <w:t>Increase</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60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1"/>
              </w:rPr>
              <w:t>(Decrease)</w:t>
            </w: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1,172</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Patent filing expense</w:t>
            </w: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3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488</w:t>
            </w:r>
          </w:p>
        </w:tc>
        <w:tc>
          <w:tcPr>
            <w:tcW w:w="260" w:type="dxa"/>
            <w:vAlign w:val="bottom"/>
          </w:tcPr>
          <w:p>
            <w:pPr>
              <w:spacing w:after="0"/>
              <w:rPr>
                <w:sz w:val="18"/>
                <w:szCs w:val="18"/>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29</w:t>
            </w: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1,828</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2,291</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(463)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Professional fees</w:t>
            </w: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1,168</w:t>
            </w:r>
          </w:p>
        </w:tc>
        <w:tc>
          <w:tcPr>
            <w:tcW w:w="3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1,923</w:t>
            </w:r>
          </w:p>
        </w:tc>
        <w:tc>
          <w:tcPr>
            <w:tcW w:w="26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(755)</w:t>
            </w: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1,350</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1,461</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4"/>
        </w:trPr>
        <w:tc>
          <w:tcPr>
            <w:tcW w:w="602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6,035</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(1,486)</w:t>
            </w:r>
          </w:p>
        </w:tc>
        <w:tc>
          <w:tcPr>
            <w:tcW w:w="130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8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General and administrative expenses decreased by 38% to $1.7 million for the three months ended September 30, 2017 compared to $2.7 million for the three months ended September 30, 2016. General and administrative expenses decreased by 20% to $6.0 million for the nine months ended September 30, 2017 compared to $7.5 million for the nine months ended September 30, 2016.</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three months decrease was primarily related to a $0.6 million decrease in public relations fees and legal fees. Stock-based compensation also decreased due to the forfeiture of terminated employees’ stock options.</w:t>
      </w:r>
    </w:p>
    <w:p>
      <w:pPr>
        <w:spacing w:after="0" w:line="170"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nine months decrease was principally due to the reduction in public relations fees, the decrease of stock-based compensation expense and labor expense. The decrease in stock-based compensation is due to the grant of stock options to board members in the first quarter of 2016 that were immediately vested. Labor costs also decreased due to the reduction of our general and administrative workforce from 10 to 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other income (loss)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7620" w:type="dxa"/>
            <w:vAlign w:val="bottom"/>
            <w:gridSpan w:val="10"/>
          </w:tcPr>
          <w:p>
            <w:pPr>
              <w:ind w:left="2140"/>
              <w:spacing w:after="0"/>
              <w:rPr>
                <w:sz w:val="20"/>
                <w:szCs w:val="20"/>
                <w:color w:val="auto"/>
              </w:rPr>
            </w:pPr>
            <w:r>
              <w:rPr>
                <w:rFonts w:ascii="Arial" w:cs="Arial" w:eastAsia="Arial" w:hAnsi="Arial"/>
                <w:sz w:val="18"/>
                <w:szCs w:val="18"/>
                <w:b w:val="1"/>
                <w:bCs w:val="1"/>
                <w:color w:val="auto"/>
                <w:w w:val="89"/>
              </w:rPr>
              <w:t>Three Months Ended September 30, Nine Months Ended September 30,</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3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Interest income</w:t>
            </w:r>
          </w:p>
        </w:tc>
        <w:tc>
          <w:tcPr>
            <w:tcW w:w="2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123</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exchange gain (loss)</w:t>
            </w:r>
          </w:p>
        </w:tc>
        <w:tc>
          <w:tcPr>
            <w:tcW w:w="21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265</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365</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388</w:t>
            </w:r>
          </w:p>
        </w:tc>
        <w:tc>
          <w:tcPr>
            <w:tcW w:w="10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652</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140" w:type="dxa"/>
            <w:vAlign w:val="bottom"/>
            <w:vMerge w:val="restart"/>
          </w:tcPr>
          <w:p>
            <w:pPr>
              <w:jc w:val="right"/>
              <w:ind w:right="90"/>
              <w:spacing w:after="0"/>
              <w:rPr>
                <w:sz w:val="20"/>
                <w:szCs w:val="20"/>
                <w:color w:val="auto"/>
              </w:rPr>
            </w:pPr>
            <w:r>
              <w:rPr>
                <w:rFonts w:ascii="Arial" w:cs="Arial" w:eastAsia="Arial" w:hAnsi="Arial"/>
                <w:sz w:val="18"/>
                <w:szCs w:val="18"/>
                <w:color w:val="auto"/>
              </w:rPr>
              <w:t>19</w:t>
            </w: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86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86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40" w:top="692" w:right="179" w:bottom="1440" w:gutter="0" w:footer="0" w:header="0"/>
        </w:sectPr>
      </w:pPr>
    </w:p>
    <w:bookmarkStart w:id="19" w:name="page20"/>
    <w:bookmarkEnd w:id="19"/>
    <w:p>
      <w:pPr>
        <w:ind w:right="100" w:firstLine="648"/>
        <w:spacing w:after="0" w:line="277" w:lineRule="auto"/>
        <w:rPr>
          <w:sz w:val="20"/>
          <w:szCs w:val="20"/>
          <w:color w:val="auto"/>
        </w:rPr>
      </w:pPr>
      <w:r>
        <w:rPr>
          <w:rFonts w:ascii="Arial" w:cs="Arial" w:eastAsia="Arial" w:hAnsi="Arial"/>
          <w:sz w:val="18"/>
          <w:szCs w:val="18"/>
          <w:color w:val="auto"/>
        </w:rPr>
        <w:t>The interest income for the three months and nine months ended September 30, 2017 is mainly from the interest generated from our Canadian bank account. Foreign exchange gain was mainly due to the fluctuation of the exchange rate between Euro and US dollar.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Our cash requirements could change materially as a result of the progress of our research and development and clinical programs, licensing activities, acquisitions, divestitures or other corporate developments.</w:t>
      </w:r>
    </w:p>
    <w:p>
      <w:pPr>
        <w:spacing w:after="0" w:line="170"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Since our inception on March 22, 2005 through September 30, 2017, we have funded our operations principally through public offerings and private placements of equity securities, which have provided aggregate cash proceeds of approximately $257.2 million. The following table summarizes our sources and uses of cash (in thousands):</w:t>
      </w:r>
    </w:p>
    <w:p>
      <w:pPr>
        <w:sectPr>
          <w:pgSz w:w="11900" w:h="16838" w:orient="portrait"/>
          <w:cols w:equalWidth="0" w:num="1">
            <w:col w:w="11380"/>
          </w:cols>
          <w:pgMar w:left="240" w:top="692"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cash (used in) provided by: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51764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Investing activities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51764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580" w:right="2640"/>
        <w:spacing w:after="0" w:line="276" w:lineRule="auto"/>
        <w:rPr>
          <w:sz w:val="20"/>
          <w:szCs w:val="20"/>
          <w:color w:val="auto"/>
        </w:rPr>
      </w:pPr>
      <w:r>
        <w:rPr>
          <w:rFonts w:ascii="Arial" w:cs="Arial" w:eastAsia="Arial" w:hAnsi="Arial"/>
          <w:sz w:val="18"/>
          <w:szCs w:val="18"/>
          <w:color w:val="auto"/>
        </w:rPr>
        <w:t>Effect of foreign exchange rate on cash and cash equivalents 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-155575</wp:posOffset>
            </wp:positionV>
            <wp:extent cx="651764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Nine Months Ended</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195"/>
        </w:trPr>
        <w:tc>
          <w:tcPr>
            <w:tcW w:w="20" w:type="dxa"/>
            <w:vAlign w:val="bottom"/>
          </w:tcPr>
          <w:p>
            <w:pPr>
              <w:spacing w:after="0"/>
              <w:rPr>
                <w:sz w:val="16"/>
                <w:szCs w:val="16"/>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(26,842)</w:t>
            </w:r>
          </w:p>
        </w:tc>
        <w:tc>
          <w:tcPr>
            <w:tcW w:w="320" w:type="dxa"/>
            <w:vAlign w:val="bottom"/>
          </w:tcPr>
          <w:p>
            <w:pPr>
              <w:jc w:val="right"/>
              <w:ind w:right="70"/>
              <w:spacing w:after="0" w:line="195"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(33,214)</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(1,151)</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(11,946)</w:t>
            </w: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33,319</w:t>
            </w:r>
          </w:p>
        </w:tc>
        <w:tc>
          <w:tcPr>
            <w:tcW w:w="3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866</w:t>
            </w:r>
          </w:p>
        </w:tc>
      </w:tr>
      <w:tr>
        <w:trPr>
          <w:trHeight w:val="230"/>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r>
      <w:tr>
        <w:trPr>
          <w:trHeight w:val="223"/>
        </w:trPr>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4,653</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(44,258)</w:t>
            </w: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80" w:space="720"/>
            <w:col w:w="3080"/>
          </w:cols>
          <w:pgMar w:left="240" w:top="692" w:right="279" w:bottom="1440" w:gutter="0" w:footer="0" w:header="0"/>
          <w:type w:val="continuous"/>
        </w:sectPr>
      </w:pPr>
    </w:p>
    <w:p>
      <w:pPr>
        <w:spacing w:after="0" w:line="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nine months ended September 30, 2017 and 2016, our operating activities used net cash of $26.8 million and $33.2 million, respectively. The use of net cash in each of these periods primarily resulted from our net losses. The net loss from operations for the nine months ended September 30, 2017 as compared to the nine months ended September 30, 2016 decreased, but the prepayment for clinical trial and payment for bills related to previous period expenses increased the cash used.</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During the nine months ended September 30, 2017 and 2016, our investing activities used net cash of $1.2 million and $11.9 million, respectively. The use of cash during the nine months ended September 30, 2017 was for research and development, and the purchase of new manufacturing equipment. We spent approximately $7.7 million on the construction of new facilities during the nine months ended September 30, 2016.</w:t>
      </w:r>
    </w:p>
    <w:p>
      <w:pPr>
        <w:spacing w:after="0" w:line="166"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During the nine months ended September 30, 2017 and 2016, our financing activities provided net cash proceeds of $33.3 million and $0.9 million, respectively. During the nine months ended September 30, 2017, we entered into subscription agreements with accredited investors, and sold 2.4 million common shares at $13 per share for approximately $31.6 million in net proceeds. Also, we sold 87 thousand shares under a Common Stock Sales Agreement with H.C. Wainwright &amp; Co. LLC for net proceeds of approximately $1.0 million. Employees exercised stock options to purchase a total of 289 thousand shares of common stock for a total of approximately $0.8 million in net proceeds. During the nine months ended September 30, 2016, employees exercised stock options to purchase a total of 165 thousand shares of common stock for a total of approximately $0.9 million in net proceeds.</w:t>
      </w:r>
    </w:p>
    <w:p>
      <w:pPr>
        <w:spacing w:after="0" w:line="16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expect to continue to incur substantial operating losses in the future. We will not receive any product revenue until a drug candidate has been approved by the Food and Drug Administration or similar regulatory agencies in other countries and successfully commercialized. As of September 30, 2017, our principal sources of liquidity were our cash and cash equivalents, which totaled approximately $39.0 million.</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On January 12, 2008, we entered a lease agreement to lease our office space in Austin, Texas. On September 15, 2010, we entered into a second lease agreement to lease additional space in Austin, Texas. On March 20, 2014, we extended the lease for an additional 21 months on the same terms and rental rates as the current lease. On February 28, 2016, we extended the lease for another 4 years. The future minimum lease payments are as follows as of September 30, 2017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Less than</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More than</w:t>
            </w:r>
          </w:p>
        </w:tc>
      </w:tr>
      <w:tr>
        <w:trPr>
          <w:trHeight w:val="234"/>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1 Year</w:t>
            </w:r>
          </w:p>
        </w:tc>
        <w:tc>
          <w:tcPr>
            <w:tcW w:w="2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1 - 3 Years</w:t>
            </w:r>
          </w:p>
        </w:tc>
        <w:tc>
          <w:tcPr>
            <w:tcW w:w="26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3 years</w:t>
            </w:r>
          </w:p>
        </w:tc>
      </w:tr>
      <w:tr>
        <w:trPr>
          <w:trHeight w:val="223"/>
        </w:trPr>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Office space leases</w:t>
            </w:r>
          </w:p>
        </w:tc>
        <w:tc>
          <w:tcPr>
            <w:tcW w:w="1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665</w:t>
            </w:r>
          </w:p>
        </w:tc>
        <w:tc>
          <w:tcPr>
            <w:tcW w:w="2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665</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468</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197</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r>
      <w:tr>
        <w:trPr>
          <w:trHeight w:val="20"/>
        </w:trPr>
        <w:tc>
          <w:tcPr>
            <w:tcW w:w="4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expense was $186 thousand and $180 thousand for the three months ended September 30, 2017 and 2016,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Since inception, we have not engaged in any off-balance sheet activities, including the use of structured finance, special purpose entities or variable interest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3.Quantitative and Qualitative Disclosure of Market Risks</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Company is not currently exposed to material market risk arising from financial instruments, changes in interest rates or commodity prices, or fluctuations in foreign currencies. The Company has no need to hedge against any of the foregoing risks and therefore currently engages in no hedging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22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As of the end of the period covered by this Quarterly Report on Form 10-Q, an evaluation was carried out by the Company’s management, with the participation of the Chief Executive Officer and Principal Financial Officer, of the effectiveness of the Company’s disclosure controls and procedures, as defined in Rule 13a-15(e) and 15d-15(e) under the Securities Exchange Act of 1934. Based on such evaluation, the Chief Executive Officer and Principal Financial Officer concluded that the Company’s disclosure controls and procedures are effective to ensure that information required to be disclosed in the reports the Company files or furnishes under the Securities Exchange Act of 1934 is recorded, processed, summarized and reported within the time periods specified in the SEC’s rules and regulations, and are operating in an effective manner.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third quarter of the year ended December 31, 2017 that has materially affected, or is reasonably likely to materially affect, our internal control over financial reporting.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180"/>
          </w:cols>
          <w:pgMar w:left="240" w:top="688" w:right="479" w:bottom="1440" w:gutter="0" w:footer="0" w:header="0"/>
        </w:sectPr>
      </w:pPr>
    </w:p>
    <w:bookmarkStart w:id="22" w:name="page23"/>
    <w:bookmarkEnd w:id="22"/>
    <w:p>
      <w:pPr>
        <w:ind w:left="45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December 1, 2015, a purported securities class action complaint captioned Yogina Rezko v. XBiotech Inc., John Simard, Queena Han and WR Hambrecht &amp; Co., LLC was filed against us, certain of our officers and directors and the underwriter for our initial public offering in the Superior Court for the State of California, Los Angeles County. On December 2, 2015, a purported securities class action complaint captioned Linh Tran v. XBiotech Inc., John Simard and Queena Han was filed against us and certain of our officers and directors in U.S. District Court for the Western District of Texas. The lawsuits are based on substantially similar factual allegations and purport to be class actions brought on behalf of purchasers of the Company's securities during the period from April 15, 2015 through November 23, 2015. The complaint filed in California state court alleges that the defendants violated the Securities Act of 1933, as amended (the "Securities Act"), and the complaint filed in federal court alleges that the defendants violated the Securities Exchange Act of 1934, as amended (the "Exchange Act"), in each case by making materially false and misleading statements concerning the Company's Phase III clinical trial conducted in Europe to assess Xilonix™ as a treatment for colorectal cancer. The California complaint purports to assert claims for violations of Sections 11, 12(a)(2) and 15 of the Securities Act, and the federal complaint purports to assert claims for violation of Sections 10(b) and 20(a) of the Exchange Act and Rule 10b-5 promulgated thereunder. Both complaints seek, on behalf of the purported class, an unspecified amount of monetary damages, interest, fees and expenses of attorneys and experts, and other relief.</w:t>
      </w:r>
    </w:p>
    <w:p>
      <w:pPr>
        <w:spacing w:after="0" w:line="18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September 2016, a stay was granted at the Superior Court for the State of California, Los Angeles County, in Yogina Rezko v. XBiotech Inc., John Simard, Queena Han and WR Hambrecht &amp; Co., LLC, in light of the ongoing case, Linh Tran v. XBiotech Inc., John Simard and Queena Han, in the U.S. District Court for the Western District of Texas, leaving plaintiffs with an opportunity re-file a complaint in Texas. In October 2016, the Texas securities class action lawsuit was dismissed with prejudice. At the June 7, 2017 hearing at the Superior Court for the State of California, Los Angeles County, we were granted a motion on the grounds of forum non conveniens. The judge ruled that the case belonged in Texas, not in California. The case is nevertheless stayed, due to California procedural rules, and not dismissed. A status conference is tentatively scheduled for January 2018.</w:t>
      </w:r>
    </w:p>
    <w:p>
      <w:pPr>
        <w:spacing w:after="0" w:line="178"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On July 6, 2017, plaintiffs proceeded to re-file in Travis County district court (located in Austin, Texas). A hearing date has yet to be scheduled. Subsequently, XBiotech won on its motion to remove the case from state court to federal court at the U.S. District Court for the Western District of Texas, Austin Division. Counsel further argued for a motion to stay the case, which was granted on October 6, 2017, taking into account the upcoming hearings at the U.S. Supreme Court for Cyan, Inc. v. Beaver County Employees Retirement Fund. At issue in this is case is whether state courts lack subject matter jurisdiction over covered class actions that allege only Securities Act of 1933 claims. Arguments before the Supreme Court are scheduled for November 28, 2017. A decision from the Court is expected in Spring 2018, at which time we will learn more about its impact on whether plaintiffs may return to litigate Rezko v. XBiotech in state court. We are unable to estimate the outcome of the Texas state court matter or the resulting financial impact to us, if 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Annual Report on Form 10-K for the year ended December 31, 2016, including the discussion in Part I, “Item 1A. Risk Factors,” and this Quarterly Report on Form 10-Q describe risks that could materially affect our business, financial condition or future results. The risks described in our Annual Report on Form 10-K and in this Quarterly Report on Form 10-Q,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 Other than as supplemented below, there have been no material changes in the risk factors reported in our last Annual Report on Form 10-K.</w:t>
      </w:r>
    </w:p>
    <w:p>
      <w:pPr>
        <w:spacing w:after="0" w:line="193"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We submitted a Marketing Authorization Application to the EMA for our lead product candidate after completing a Phase III clinical trial in Europe. The EMA did not approve our Marketing Authorization Application, and we discontinued our FDA Phase III global clinical trial for our lead product candidate. As a result, we are in the process of assessing next steps in our Research and Development pipeline and our future clinical programs.</w:t>
      </w:r>
    </w:p>
    <w:p>
      <w:pPr>
        <w:spacing w:after="0" w:line="14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 March 2016, we submitted a Marketing Authorization Application, or MAA, to the EMA Committee for Human Medicinal Products, or CHMP, for the Phase III clinical trial of our lead product candidate completed in Europe during Q4 2015. On April 20, 2017, we participated in an Oral Explanation Meeting at the EMA after which the CHMP delivered a negative trend vote, indicating that our lead product candidate would not be approved for marketing in the EU. After the formal decision of the CHMP was rendered, we moved forward with an appeal to the EMA to reexamine the MAA. We received notification on September 14, 2017, that the EMA CHMP maintained its original decision to not approve our lead product candidate for marketing in the EU. Also, this year, on June 9, 2017, we announced that we were discontinuing our FDA Phase III global clinical trial, also involving our lead product candidate.</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23" w:name="page24"/>
    <w:bookmarkEnd w:id="23"/>
    <w:p>
      <w:pPr>
        <w:ind w:firstLine="648"/>
        <w:spacing w:after="0" w:line="257" w:lineRule="auto"/>
        <w:rPr>
          <w:sz w:val="20"/>
          <w:szCs w:val="20"/>
          <w:color w:val="auto"/>
        </w:rPr>
      </w:pPr>
      <w:r>
        <w:rPr>
          <w:rFonts w:ascii="Arial" w:cs="Arial" w:eastAsia="Arial" w:hAnsi="Arial"/>
          <w:sz w:val="18"/>
          <w:szCs w:val="18"/>
          <w:color w:val="auto"/>
        </w:rPr>
        <w:t>No further EMA procedures are available to us for the present MAA in Europe. We also have no plans to continue the FDA Phase III global clinical trial, although data analysis is ongoing. Meanwhile, the Company continues pursuit of its oncology program with potential involvement in investigator initiated study(ies) evaluating MABp1’s potential for treatment in different oncology settings. We are actively working to further develop our clinical and pre-clinical pipeline and are looking into next steps with regulatory authorities and potential corporate, academic and government collaborations or partnerships for research and/or clinical programs.</w:t>
      </w:r>
    </w:p>
    <w:p>
      <w:pPr>
        <w:spacing w:after="0" w:line="18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In our pursuit of clinical programs or new product candidates from our Research and Development pipeline, we may meet a number of potential obstacles including but not limited to:</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securing appropriate corporate, academic or government partnerships to continue clinical trials;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Research and Development of pre-clinical products in the pipeline may not render an antibody suitable for further clinical trials;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not approve clinical study protocols to move forward with clinical trials thus delaying timelines that we may establish for our clinical programs;</w:t>
      </w: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encounter competition from other companies pursuing similar clinical programs as we set out our strategic vision for clinical development.</w:t>
      </w:r>
    </w:p>
    <w:p>
      <w:pPr>
        <w:spacing w:after="0" w:line="234"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These obstacles could delay or further inhibit our ability to proceed with a viable product line for potential future regulatory approval and commercialization.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will need to expand our operations and grow the size of our organization, and we may experience difficulties in managing this growth.</w:t>
      </w:r>
    </w:p>
    <w:p>
      <w:pPr>
        <w:spacing w:after="0" w:line="237"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As of September 30, 2017, we had 56 employees. As our development and commercialization plans and strategies develop, or as a result of any future acquisitions, we will need additional managerial, operational, sales, marketing, scientific, and financial headcount and other resources. Our management, personnel and systems currently in place may not be adequate to support this future growth. Future growth would impose significant added responsibilities on members of management, including:</w:t>
      </w:r>
    </w:p>
    <w:p>
      <w:pPr>
        <w:spacing w:after="0" w:line="18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managing our clinical trials effectively, which we anticipate being conducted at numerous clinical sites on a global scale;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identifying, recruiting, maintaining, motivating and integrating additional employees with the expertise and experience we will require;</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licensors, licensees, contractors and other third parties;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managing additional relationships with various strategic partners, suppliers and other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improving our managerial, development, operational and finance reporting systems and procedures;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expanding our facilities.</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Our failure to accomplish any of these tasks could prevent us from successfully growing our Company.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depend on key personnel to operate our business. If we are unable to retain, attract and integrate qualified personnel, our ability to develop and successfully grow our business could be harmed.</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to the continued services of Mr. Simard, we believe that our future success is highly dependent on the contributions of our significant employees, as well as our ability to attract and retain highly skilled and experienced sales, research and development and other personnel in the United States and abroad. Some of our significant employees include our Medical Director, our Senior Vice President of Corporate Strategy and Finance, our Vice President of Research and Development, our Vice President of Quality Control, and our Vice President of Finance and Human Resources. Changes in our management team may be disruptive to our business.</w:t>
      </w: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4" w:name="page25"/>
    <w:bookmarkEnd w:id="24"/>
    <w:p>
      <w:pPr>
        <w:ind w:firstLine="648"/>
        <w:spacing w:after="0" w:line="254" w:lineRule="auto"/>
        <w:rPr>
          <w:sz w:val="20"/>
          <w:szCs w:val="20"/>
          <w:color w:val="auto"/>
        </w:rPr>
      </w:pPr>
      <w:r>
        <w:rPr>
          <w:rFonts w:ascii="Arial" w:cs="Arial" w:eastAsia="Arial" w:hAnsi="Arial"/>
          <w:sz w:val="18"/>
          <w:szCs w:val="18"/>
          <w:color w:val="auto"/>
        </w:rPr>
        <w:t>All of our employees, including our Chief Executive Officer, are free to terminate their employment relationship with us at any time, subject to any applicable notice requirements, and their knowledge of our business and industry may be difficult to replace. If one or more of our executive officers or significant employees leaves, we may not be able to fully integrate new personnel or replicate the prior working relationships, and our operations could suffer. Qualified individuals with the breadth of skills and experience in the pharmaceutical industry that we require are in high demand, and we may incur significant costs to attract them.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Our failure to attract and retain key personnel could impede the achievement of our research, development and commercialization objectives.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89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898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On November 8</w:t>
      </w:r>
      <w:r>
        <w:rPr>
          <w:rFonts w:ascii="Arial" w:cs="Arial" w:eastAsia="Arial" w:hAnsi="Arial"/>
          <w:sz w:val="30"/>
          <w:szCs w:val="30"/>
          <w:color w:val="auto"/>
          <w:vertAlign w:val="superscript"/>
        </w:rPr>
        <w:t>th</w:t>
      </w:r>
      <w:r>
        <w:rPr>
          <w:rFonts w:ascii="Arial" w:cs="Arial" w:eastAsia="Arial" w:hAnsi="Arial"/>
          <w:sz w:val="18"/>
          <w:szCs w:val="18"/>
          <w:color w:val="auto"/>
        </w:rPr>
        <w:t>, 2017 Fabrizio Bonanni resigned from the Board of Directors of XBiotech Inc. effective immediately. On November 8th, 2017, the Company promptly notified the NASDAQ Listing Qualifications Department (“NLQD”) of this event. On November 9th, 2017, the Company received a letter from the NLQD which noted the Company’s non-compliance with NASDAQ’s audit committee requirements as set forth in Listing Rule 5605. However, consistent with Listing Rule 5605(c)(4), NASDAQ will provide the Company a cure period in order to regain compliance until the earlier of the Company’s next annual shareholders’ meeting or November 8, 2018 or if the next annual shareholders’ meeting is held before May 7, 2018, then the Company must evidence compliance no later than May 7, 2018. The Company plans to fill the vacancy and regain compliance within the cure period provided by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280"/>
        <w:spacing w:after="0"/>
        <w:tabs>
          <w:tab w:leader="none" w:pos="800" w:val="left"/>
        </w:tabs>
        <w:rPr>
          <w:rFonts w:ascii="Arial" w:cs="Arial" w:eastAsia="Arial" w:hAnsi="Arial"/>
          <w:sz w:val="16"/>
          <w:szCs w:val="16"/>
          <w:u w:val="single" w:color="auto"/>
          <w:color w:val="0000EE"/>
        </w:rPr>
      </w:pPr>
      <w:hyperlink w:anchor="page28">
        <w:r>
          <w:rPr>
            <w:rFonts w:ascii="Arial" w:cs="Arial" w:eastAsia="Arial" w:hAnsi="Arial"/>
            <w:sz w:val="18"/>
            <w:szCs w:val="18"/>
            <w:u w:val="single" w:color="auto"/>
            <w:color w:val="0000EE"/>
          </w:rPr>
          <w:t>31.1</w:t>
        </w:r>
      </w:hyperlink>
      <w:r>
        <w:rPr>
          <w:rFonts w:ascii="Arial" w:cs="Arial" w:eastAsia="Arial" w:hAnsi="Arial"/>
          <w:sz w:val="18"/>
          <w:szCs w:val="18"/>
          <w:u w:val="single" w:color="auto"/>
          <w:color w:val="0000EE"/>
        </w:rPr>
        <w:tab/>
      </w:r>
      <w:hyperlink w:anchor="page28">
        <w:r>
          <w:rPr>
            <w:rFonts w:ascii="Arial" w:cs="Arial" w:eastAsia="Arial" w:hAnsi="Arial"/>
            <w:sz w:val="16"/>
            <w:szCs w:val="16"/>
            <w:u w:val="single" w:color="auto"/>
            <w:color w:val="0000EE"/>
          </w:rPr>
          <w:t>Certification of Principal Executive Officer Required Under Rule 13a-14(a) and 15d-14(a) of the Securities Exchange Act of 1934, as amended.</w:t>
        </w:r>
      </w:hyperlink>
    </w:p>
    <w:p>
      <w:pPr>
        <w:spacing w:after="0" w:line="225" w:lineRule="exact"/>
        <w:rPr>
          <w:sz w:val="20"/>
          <w:szCs w:val="20"/>
          <w:color w:val="auto"/>
        </w:rPr>
      </w:pPr>
    </w:p>
    <w:p>
      <w:pPr>
        <w:ind w:left="280"/>
        <w:spacing w:after="0"/>
        <w:tabs>
          <w:tab w:leader="none" w:pos="800" w:val="left"/>
        </w:tabs>
        <w:rPr>
          <w:rFonts w:ascii="Arial" w:cs="Arial" w:eastAsia="Arial" w:hAnsi="Arial"/>
          <w:sz w:val="16"/>
          <w:szCs w:val="16"/>
          <w:u w:val="single" w:color="auto"/>
          <w:color w:val="0000EE"/>
        </w:rPr>
      </w:pPr>
      <w:hyperlink w:anchor="page29">
        <w:r>
          <w:rPr>
            <w:rFonts w:ascii="Arial" w:cs="Arial" w:eastAsia="Arial" w:hAnsi="Arial"/>
            <w:sz w:val="18"/>
            <w:szCs w:val="18"/>
            <w:u w:val="single" w:color="auto"/>
            <w:color w:val="0000EE"/>
          </w:rPr>
          <w:t>31.2</w:t>
        </w:r>
      </w:hyperlink>
      <w:r>
        <w:rPr>
          <w:rFonts w:ascii="Arial" w:cs="Arial" w:eastAsia="Arial" w:hAnsi="Arial"/>
          <w:sz w:val="18"/>
          <w:szCs w:val="18"/>
          <w:u w:val="single" w:color="auto"/>
          <w:color w:val="0000EE"/>
        </w:rPr>
        <w:tab/>
      </w:r>
      <w:hyperlink w:anchor="page29">
        <w:r>
          <w:rPr>
            <w:rFonts w:ascii="Arial" w:cs="Arial" w:eastAsia="Arial" w:hAnsi="Arial"/>
            <w:sz w:val="16"/>
            <w:szCs w:val="16"/>
            <w:u w:val="single" w:color="auto"/>
            <w:color w:val="0000EE"/>
          </w:rPr>
          <w:t>Certification of Principal Financial Officer Required Under Rule 13a-14(a) and 15d-14(a) of the Securities Exchange Act of 1934, as amended.</w:t>
        </w:r>
      </w:hyperlink>
    </w:p>
    <w:p>
      <w:pPr>
        <w:spacing w:after="0" w:line="225" w:lineRule="exact"/>
        <w:rPr>
          <w:sz w:val="20"/>
          <w:szCs w:val="20"/>
          <w:color w:val="auto"/>
        </w:rPr>
      </w:pPr>
    </w:p>
    <w:p>
      <w:pPr>
        <w:ind w:left="280"/>
        <w:spacing w:after="0"/>
        <w:tabs>
          <w:tab w:leader="none" w:pos="800" w:val="left"/>
        </w:tabs>
        <w:rPr>
          <w:rFonts w:ascii="Arial" w:cs="Arial" w:eastAsia="Arial" w:hAnsi="Arial"/>
          <w:sz w:val="16"/>
          <w:szCs w:val="16"/>
          <w:u w:val="single" w:color="auto"/>
          <w:color w:val="0000EE"/>
        </w:rPr>
      </w:pPr>
      <w:hyperlink w:anchor="page30">
        <w:r>
          <w:rPr>
            <w:rFonts w:ascii="Arial" w:cs="Arial" w:eastAsia="Arial" w:hAnsi="Arial"/>
            <w:sz w:val="18"/>
            <w:szCs w:val="18"/>
            <w:u w:val="single" w:color="auto"/>
            <w:color w:val="0000EE"/>
          </w:rPr>
          <w:t>32.1</w:t>
        </w:r>
      </w:hyperlink>
      <w:r>
        <w:rPr>
          <w:rFonts w:ascii="Arial" w:cs="Arial" w:eastAsia="Arial" w:hAnsi="Arial"/>
          <w:sz w:val="18"/>
          <w:szCs w:val="18"/>
          <w:u w:val="single" w:color="auto"/>
          <w:color w:val="0000EE"/>
        </w:rPr>
        <w:tab/>
      </w:r>
      <w:hyperlink w:anchor="page30">
        <w:r>
          <w:rPr>
            <w:rFonts w:ascii="Arial" w:cs="Arial" w:eastAsia="Arial" w:hAnsi="Arial"/>
            <w:sz w:val="16"/>
            <w:szCs w:val="16"/>
            <w:u w:val="single" w:color="auto"/>
            <w:color w:val="0000EE"/>
          </w:rPr>
          <w:t>Certification of Principal Executive Officer and Principal Financial Officer Required Under Rule 13a-14(b) of the Securities Exchange Act of</w:t>
        </w:r>
      </w:hyperlink>
    </w:p>
    <w:p>
      <w:pPr>
        <w:spacing w:after="0" w:line="23" w:lineRule="exact"/>
        <w:rPr>
          <w:sz w:val="20"/>
          <w:szCs w:val="20"/>
          <w:color w:val="auto"/>
        </w:rPr>
      </w:pPr>
    </w:p>
    <w:p>
      <w:pPr>
        <w:ind w:left="8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1934, as amended, and 18 U.S.C. §1350.</w:t>
        </w:r>
      </w:hyperlink>
    </w:p>
    <w:p>
      <w:pPr>
        <w:spacing w:after="0" w:line="211" w:lineRule="exact"/>
        <w:rPr>
          <w:sz w:val="20"/>
          <w:szCs w:val="20"/>
          <w:color w:val="auto"/>
        </w:rPr>
      </w:pPr>
    </w:p>
    <w:p>
      <w:pPr>
        <w:ind w:left="820" w:hanging="501"/>
        <w:spacing w:after="0" w:line="259"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following financial statements from the XBiotech Inc. Quarterly Report on Form 10-Q for the quarter ended September 30, 2017, formatted in Extensive Business Reporting Language (XBRL): (i) condensed consolidated balance sheets, (ii) condensed consolidated statements of operations, (iii) condensed consolidated statements of comprehensive loss, (iv) condensed consolidated statements of cash flows and (v) notes to condensed consolidated financial statements (detail tagged).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9, 2017</w:t>
      </w:r>
      <w:r>
        <w:rPr>
          <w:sz w:val="20"/>
          <w:szCs w:val="20"/>
          <w:color w:val="auto"/>
        </w:rPr>
        <w:tab/>
      </w:r>
      <w:r>
        <w:rPr>
          <w:rFonts w:ascii="Arial" w:cs="Arial" w:eastAsia="Arial" w:hAnsi="Arial"/>
          <w:sz w:val="18"/>
          <w:szCs w:val="18"/>
          <w:b w:val="1"/>
          <w:bCs w:val="1"/>
          <w:color w:val="auto"/>
        </w:rPr>
        <w:t>XBIOTECH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Simard</w:t>
            </w:r>
          </w:p>
        </w:tc>
      </w:tr>
      <w:tr>
        <w:trPr>
          <w:trHeight w:val="195"/>
        </w:trPr>
        <w:tc>
          <w:tcPr>
            <w:tcW w:w="5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John Simard</w:t>
            </w:r>
          </w:p>
        </w:tc>
      </w:tr>
      <w:tr>
        <w:trPr>
          <w:trHeight w:val="216"/>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9, 2017</w:t>
            </w:r>
          </w:p>
        </w:tc>
        <w:tc>
          <w:tcPr>
            <w:tcW w:w="2540" w:type="dxa"/>
            <w:vAlign w:val="bottom"/>
          </w:tcPr>
          <w:p>
            <w:pPr>
              <w:ind w:left="19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Queena Han</w:t>
            </w:r>
          </w:p>
        </w:tc>
      </w:tr>
      <w:tr>
        <w:trPr>
          <w:trHeight w:val="195"/>
        </w:trPr>
        <w:tc>
          <w:tcPr>
            <w:tcW w:w="37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Queena Han</w:t>
            </w:r>
          </w:p>
        </w:tc>
      </w:tr>
      <w:tr>
        <w:trPr>
          <w:trHeight w:val="216"/>
        </w:trPr>
        <w:tc>
          <w:tcPr>
            <w:tcW w:w="37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4"/>
              </w:rPr>
              <w:t>Vice President, Finance and Human Resources, and</w:t>
            </w:r>
          </w:p>
        </w:tc>
      </w:tr>
      <w:tr>
        <w:trPr>
          <w:trHeight w:val="216"/>
        </w:trPr>
        <w:tc>
          <w:tcPr>
            <w:tcW w:w="37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8"/>
              </w:rPr>
              <w:t>Secretary (</w:t>
            </w:r>
            <w:r>
              <w:rPr>
                <w:rFonts w:ascii="Arial" w:cs="Arial" w:eastAsia="Arial" w:hAnsi="Arial"/>
                <w:sz w:val="18"/>
                <w:szCs w:val="18"/>
                <w:i w:val="1"/>
                <w:iCs w:val="1"/>
                <w:color w:val="auto"/>
                <w:w w:val="98"/>
              </w:rPr>
              <w:t>Principal Financial Officer and Principal</w:t>
            </w:r>
          </w:p>
        </w:tc>
      </w:tr>
      <w:tr>
        <w:trPr>
          <w:trHeight w:val="230"/>
        </w:trPr>
        <w:tc>
          <w:tcPr>
            <w:tcW w:w="37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i w:val="1"/>
                <w:iCs w:val="1"/>
                <w:color w:val="auto"/>
              </w:rPr>
              <w:t>Accounting Officer</w:t>
            </w: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60"/>
          </w:cols>
          <w:pgMar w:left="240" w:top="688" w:right="39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Simard, certify that:</w:t>
      </w:r>
    </w:p>
    <w:p>
      <w:pPr>
        <w:spacing w:after="0" w:line="225"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XBiotech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20" w:firstLine="8"/>
        <w:spacing w:after="0" w:line="277"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700" w:right="520" w:hanging="341"/>
        <w:spacing w:after="0" w:line="264" w:lineRule="auto"/>
        <w:tabs>
          <w:tab w:leader="none" w:pos="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00" w:right="200" w:hanging="341"/>
        <w:spacing w:after="0" w:line="264" w:lineRule="auto"/>
        <w:tabs>
          <w:tab w:leader="none" w:pos="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700" w:right="60" w:hanging="341"/>
        <w:spacing w:after="0" w:line="308" w:lineRule="auto"/>
        <w:tabs>
          <w:tab w:leader="none" w:pos="7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700" w:right="80" w:hanging="341"/>
        <w:spacing w:after="0" w:line="264" w:lineRule="auto"/>
        <w:tabs>
          <w:tab w:leader="none" w:pos="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00" w:right="420" w:hanging="341"/>
        <w:spacing w:after="0" w:line="277" w:lineRule="auto"/>
        <w:tabs>
          <w:tab w:leader="none" w:pos="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00" w:right="20" w:hanging="341"/>
        <w:spacing w:after="0" w:line="277" w:lineRule="auto"/>
        <w:tabs>
          <w:tab w:leader="none" w:pos="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/S/John Simard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Simard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1697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Queena Han, certify that:</w:t>
      </w:r>
    </w:p>
    <w:p>
      <w:pPr>
        <w:spacing w:after="0" w:line="225"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XBiotech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20" w:firstLine="8"/>
        <w:spacing w:after="0" w:line="277"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700" w:right="520" w:hanging="341"/>
        <w:spacing w:after="0" w:line="264" w:lineRule="auto"/>
        <w:tabs>
          <w:tab w:leader="none" w:pos="7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00" w:right="200" w:hanging="341"/>
        <w:spacing w:after="0" w:line="264" w:lineRule="auto"/>
        <w:tabs>
          <w:tab w:leader="none" w:pos="7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700" w:right="60" w:hanging="341"/>
        <w:spacing w:after="0" w:line="308" w:lineRule="auto"/>
        <w:tabs>
          <w:tab w:leader="none" w:pos="7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700" w:right="80" w:hanging="341"/>
        <w:spacing w:after="0" w:line="264" w:lineRule="auto"/>
        <w:tabs>
          <w:tab w:leader="none" w:pos="7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00" w:right="420" w:hanging="341"/>
        <w:spacing w:after="0" w:line="277" w:lineRule="auto"/>
        <w:tabs>
          <w:tab w:leader="none" w:pos="7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00" w:right="20" w:hanging="341"/>
        <w:spacing w:after="0" w:line="277" w:lineRule="auto"/>
        <w:tabs>
          <w:tab w:leader="none" w:pos="7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2017</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 QUEENA HAN</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Queena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1697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Finance and Human Resources and 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29" w:name="page30"/>
    <w:bookmarkEnd w:id="29"/>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AND PRINCIPAL FINANCIAL OFFICER PURSUANT TO 18 U.S.C. SECTION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In connection with the Quarterly Report of XBiotech Inc. on Form 10-Q for the period ended September 30, 2017 as filed with the Securities and Exchange Commission on the date hereof (the “Report”), I, John Simard, Chief Executive Officer and President of the Company, certify, pursuant to 18 U.S.C. §1350, as adopted pursuant to §906 of the Sarbanes-Oxley Act of 2002, that to the best of my knowledge:</w:t>
      </w:r>
    </w:p>
    <w:p>
      <w:pPr>
        <w:spacing w:after="0" w:line="166" w:lineRule="exact"/>
        <w:rPr>
          <w:sz w:val="20"/>
          <w:szCs w:val="20"/>
          <w:color w:val="auto"/>
        </w:rPr>
      </w:pPr>
    </w:p>
    <w:p>
      <w:pPr>
        <w:ind w:left="920" w:hanging="264"/>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/S/JOHN SIMARD</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Simard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1697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9, 2017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connection with the Quarterly Report of XBiotech Inc. on Form 10-Q for the period ended September 30, 2017, as filed with the Securities and Exchange Commission on the date hereof (the “Report”), I, Queena Han, Vice President of Finance, Human Resources and Secretary of the Company, certify, pursuant to 18 U.S.C. §1350, as adopted pursuant to §906 of the Sarbanes-Oxley Act of 2002, that to the best of my knowledge:</w:t>
      </w:r>
    </w:p>
    <w:p>
      <w:pPr>
        <w:spacing w:after="0" w:line="166" w:lineRule="exact"/>
        <w:rPr>
          <w:sz w:val="20"/>
          <w:szCs w:val="20"/>
          <w:color w:val="auto"/>
        </w:rPr>
      </w:pPr>
    </w:p>
    <w:p>
      <w:pPr>
        <w:ind w:left="920" w:hanging="264"/>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 QUEENA HAN</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Queena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1697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Finance and Human Resources and 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9,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3"/>
    </w:lvl>
  </w:abstractNum>
  <w:abstractNum w:abstractNumId="8">
    <w:nsid w:val="109CF92E"/>
    <w:multiLevelType w:val="hybridMultilevel"/>
    <w:lvl w:ilvl="0">
      <w:lvlJc w:val="left"/>
      <w:lvlText w:val="%1."/>
      <w:numFmt w:val="decimal"/>
      <w:start w:val="4"/>
    </w:lvl>
  </w:abstractNum>
  <w:abstractNum w:abstractNumId="9">
    <w:nsid w:val="DED7263"/>
    <w:multiLevelType w:val="hybridMultilevel"/>
    <w:lvl w:ilvl="0">
      <w:lvlJc w:val="left"/>
      <w:lvlText w:val="%1."/>
      <w:numFmt w:val="decimal"/>
      <w:start w:val="5"/>
    </w:lvl>
  </w:abstractNum>
  <w:abstractNum w:abstractNumId="10">
    <w:nsid w:val="7FDCC233"/>
    <w:multiLevelType w:val="hybridMultilevel"/>
    <w:lvl w:ilvl="0">
      <w:lvlJc w:val="left"/>
      <w:lvlText w:val="%1."/>
      <w:numFmt w:val="decimal"/>
      <w:start w:val="6"/>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0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2019-12-29T03:20:34Z</dcterms:created>
  <dcterms:modified xsi:type="dcterms:W3CDTF">2019-12-29T03:20:34Z</dcterms:modified>
</cp:coreProperties>
</file>