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8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320" w:right="4020" w:hanging="4312"/>
        <w:spacing w:after="0" w:line="547" w:lineRule="auto"/>
        <w:tabs>
          <w:tab w:leader="none" w:pos="59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001-37437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206"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__</w:t>
      </w:r>
    </w:p>
    <w:p>
      <w:pPr>
        <w:spacing w:after="0" w:line="200" w:lineRule="exact"/>
        <w:rPr>
          <w:sz w:val="24"/>
          <w:szCs w:val="24"/>
          <w:color w:val="auto"/>
        </w:rPr>
      </w:pPr>
    </w:p>
    <w:p>
      <w:pPr>
        <w:sectPr>
          <w:pgSz w:w="11900" w:h="16838" w:orient="portrait"/>
          <w:cols w:equalWidth="0" w:num="2">
            <w:col w:w="7880" w:space="720"/>
            <w:col w:w="2820"/>
          </w:cols>
          <w:pgMar w:left="240" w:top="206" w:right="239" w:bottom="1440" w:gutter="0" w:footer="0" w:header="0"/>
          <w:type w:val="continuous"/>
        </w:sectPr>
      </w:pPr>
    </w:p>
    <w:p>
      <w:pPr>
        <w:spacing w:after="0" w:line="5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204" w:lineRule="exact"/>
        <w:rPr>
          <w:sz w:val="24"/>
          <w:szCs w:val="24"/>
          <w:color w:val="auto"/>
        </w:rPr>
      </w:pPr>
    </w:p>
    <w:p>
      <w:pPr>
        <w:sectPr>
          <w:pgSz w:w="11900" w:h="16838" w:orient="portrait"/>
          <w:cols w:equalWidth="0" w:num="2">
            <w:col w:w="6660" w:space="720"/>
            <w:col w:w="4040"/>
          </w:cols>
          <w:pgMar w:left="240" w:top="206"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5217 Winnebago Ln, Austin, TX 78744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(512) 386-2900</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XBIT</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 w:leader="none" w:pos="11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3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12th, 2019, there were 41,086,669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2" w:name="page3"/>
    <w:bookmarkEnd w:id="2"/>
    <w:p>
      <w:pPr>
        <w:jc w:val="center"/>
        <w:ind w:left="82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THREE MONTHS AND NINE MONTHS ENDED SEPTEMBER 30, 2019</w:t>
      </w:r>
    </w:p>
    <w:p>
      <w:pPr>
        <w:spacing w:after="0" w:line="9"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3"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u w:val="single" w:color="auto"/>
          <w:color w:val="auto"/>
        </w:rPr>
        <w:t>PART I—FINANCIAL INFORMATION</w:t>
      </w:r>
    </w:p>
    <w:p>
      <w:pPr>
        <w:spacing w:after="0" w:line="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Consolidated Financial Statements</w:t>
      </w:r>
    </w:p>
    <w:p>
      <w:pPr>
        <w:spacing w:after="0" w:line="9" w:lineRule="exact"/>
        <w:rPr>
          <w:sz w:val="20"/>
          <w:szCs w:val="20"/>
          <w:color w:val="auto"/>
        </w:rPr>
      </w:pPr>
    </w:p>
    <w:p>
      <w:pPr>
        <w:ind w:left="13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Sheets as of September 30, 2019 (unaudited) and December 31, 2018</w:t>
        </w:r>
      </w:hyperlink>
    </w:p>
    <w:p>
      <w:pPr>
        <w:spacing w:after="0" w:line="9" w:lineRule="exact"/>
        <w:rPr>
          <w:sz w:val="20"/>
          <w:szCs w:val="20"/>
          <w:color w:val="auto"/>
        </w:rPr>
      </w:pPr>
    </w:p>
    <w:p>
      <w:pPr>
        <w:ind w:left="1380" w:right="360"/>
        <w:spacing w:after="0" w:line="250"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Operations for the Three Months and Nine Months Ended September 30, 2019 (unaudited) and</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2018 (unaudited)</w:t>
        </w:r>
      </w:hyperlink>
    </w:p>
    <w:p>
      <w:pPr>
        <w:spacing w:after="0" w:line="1" w:lineRule="exact"/>
        <w:rPr>
          <w:sz w:val="20"/>
          <w:szCs w:val="20"/>
          <w:color w:val="auto"/>
        </w:rPr>
      </w:pPr>
    </w:p>
    <w:p>
      <w:pPr>
        <w:ind w:left="1380" w:right="800"/>
        <w:spacing w:after="0" w:line="250"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Comprehensive Loss for the Three Months and Nine Months Ended September 30, 2019</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(unaudited) and 2018 (unaudited)</w:t>
        </w:r>
      </w:hyperlink>
    </w:p>
    <w:p>
      <w:pPr>
        <w:spacing w:after="0" w:line="1" w:lineRule="exact"/>
        <w:rPr>
          <w:sz w:val="20"/>
          <w:szCs w:val="20"/>
          <w:color w:val="auto"/>
        </w:rPr>
      </w:pPr>
    </w:p>
    <w:p>
      <w:pPr>
        <w:ind w:left="1380"/>
        <w:spacing w:after="0" w:line="250"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Consolidated Statements of Changes in Shareholders’ Equity for theThree Months and Nine Months Ended September 30, 2019</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and 2018 (unaudited)</w:t>
        </w:r>
      </w:hyperlink>
    </w:p>
    <w:p>
      <w:pPr>
        <w:spacing w:after="0" w:line="1" w:lineRule="exact"/>
        <w:rPr>
          <w:sz w:val="20"/>
          <w:szCs w:val="20"/>
          <w:color w:val="auto"/>
        </w:rPr>
      </w:pPr>
    </w:p>
    <w:p>
      <w:pPr>
        <w:ind w:left="138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Consolidated Statements of Cash Flows for the Nine Months Ended September 30, 2019 (unaudited) and 2018 (unaudited)</w:t>
        </w:r>
      </w:hyperlink>
    </w:p>
    <w:p>
      <w:pPr>
        <w:spacing w:after="0" w:line="32" w:lineRule="exact"/>
        <w:rPr>
          <w:sz w:val="20"/>
          <w:szCs w:val="20"/>
          <w:color w:val="auto"/>
        </w:rPr>
      </w:pPr>
    </w:p>
    <w:p>
      <w:pPr>
        <w:ind w:left="13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Consolidated Financial Statements (unaudited)</w:t>
        </w:r>
      </w:hyperlink>
    </w:p>
    <w:p>
      <w:pPr>
        <w:spacing w:after="0" w:line="9"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hyperlink w:anchor="page18">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18">
        <w:r>
          <w:rPr>
            <w:rFonts w:ascii="Arial" w:cs="Arial" w:eastAsia="Arial" w:hAnsi="Arial"/>
            <w:sz w:val="16"/>
            <w:szCs w:val="16"/>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hyperlink w:anchor="page23">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23">
        <w:r>
          <w:rPr>
            <w:rFonts w:ascii="Arial" w:cs="Arial" w:eastAsia="Arial" w:hAnsi="Arial"/>
            <w:sz w:val="16"/>
            <w:szCs w:val="16"/>
            <w:u w:val="single" w:color="auto"/>
            <w:color w:val="0000EE"/>
          </w:rPr>
          <w:t>Quantitative and Qualitative Disclosures About Market Risk</w:t>
        </w:r>
      </w:hyperlink>
    </w:p>
    <w:p>
      <w:pPr>
        <w:spacing w:after="0" w:line="9"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hyperlink w:anchor="page23">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23">
        <w:r>
          <w:rPr>
            <w:rFonts w:ascii="Arial" w:cs="Arial" w:eastAsia="Arial" w:hAnsi="Arial"/>
            <w:sz w:val="16"/>
            <w:szCs w:val="16"/>
            <w:u w:val="single" w:color="auto"/>
            <w:color w:val="0000EE"/>
          </w:rPr>
          <w:t>Controls and Procedures</w:t>
        </w:r>
      </w:hyperlink>
    </w:p>
    <w:p>
      <w:pPr>
        <w:spacing w:after="0" w:line="9"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p>
      <w:pPr>
        <w:spacing w:after="0" w:line="117" w:lineRule="exact"/>
        <w:rPr>
          <w:sz w:val="20"/>
          <w:szCs w:val="20"/>
          <w:color w:val="auto"/>
        </w:rPr>
      </w:pPr>
    </w:p>
    <w:p>
      <w:pP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11</w:t>
        </w:r>
      </w:hyperlink>
    </w:p>
    <w:p>
      <w:pPr>
        <w:spacing w:after="0" w:line="46" w:lineRule="exact"/>
        <w:rPr>
          <w:sz w:val="20"/>
          <w:szCs w:val="20"/>
          <w:color w:val="auto"/>
        </w:rPr>
      </w:pPr>
    </w:p>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12</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18</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23</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23</w:t>
        </w:r>
      </w:hyperlink>
    </w:p>
    <w:p>
      <w:pPr>
        <w:spacing w:after="0" w:line="240" w:lineRule="exact"/>
        <w:rPr>
          <w:sz w:val="20"/>
          <w:szCs w:val="20"/>
          <w:color w:val="auto"/>
        </w:rPr>
      </w:pPr>
    </w:p>
    <w:p>
      <w:pPr>
        <w:sectPr>
          <w:pgSz w:w="11900" w:h="16838" w:orient="portrait"/>
          <w:cols w:equalWidth="0" w:num="2">
            <w:col w:w="10600" w:space="640"/>
            <w:col w:w="180"/>
          </w:cols>
          <w:pgMar w:left="240" w:top="337" w:right="239" w:bottom="1440" w:gutter="0" w:footer="0" w:header="0"/>
        </w:sect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0000EE"/>
            </w:tcBorders>
          </w:tcPr>
          <w:p>
            <w:pPr>
              <w:spacing w:after="0" w:line="185"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860" w:type="dxa"/>
            <w:vAlign w:val="bottom"/>
          </w:tcPr>
          <w:p>
            <w:pPr>
              <w:spacing w:after="0"/>
              <w:rPr>
                <w:sz w:val="16"/>
                <w:szCs w:val="16"/>
                <w:color w:val="auto"/>
              </w:rPr>
            </w:pPr>
          </w:p>
        </w:tc>
        <w:tc>
          <w:tcPr>
            <w:tcW w:w="920" w:type="dxa"/>
            <w:vAlign w:val="bottom"/>
            <w:tcBorders>
              <w:bottom w:val="single" w:sz="8" w:color="0000EE"/>
            </w:tcBorders>
            <w:gridSpan w:val="2"/>
          </w:tcPr>
          <w:p>
            <w:pPr>
              <w:spacing w:after="0" w:line="185"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Risk Factors</w:t>
              </w:r>
            </w:hyperlink>
          </w:p>
        </w:tc>
        <w:tc>
          <w:tcPr>
            <w:tcW w:w="8940" w:type="dxa"/>
            <w:vAlign w:val="bottom"/>
            <w:gridSpan w:val="5"/>
          </w:tcPr>
          <w:p>
            <w:pPr>
              <w:spacing w:after="0"/>
              <w:rPr>
                <w:sz w:val="16"/>
                <w:szCs w:val="16"/>
                <w:color w:val="auto"/>
              </w:rPr>
            </w:pPr>
          </w:p>
        </w:tc>
        <w:tc>
          <w:tcPr>
            <w:tcW w:w="180" w:type="dxa"/>
            <w:vAlign w:val="bottom"/>
            <w:tcBorders>
              <w:bottom w:val="single" w:sz="8" w:color="0000EE"/>
            </w:tcBorders>
          </w:tcPr>
          <w:p>
            <w:pPr>
              <w:jc w:val="right"/>
              <w:spacing w:after="0" w:line="185"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860" w:type="dxa"/>
            <w:vAlign w:val="bottom"/>
          </w:tcPr>
          <w:p>
            <w:pPr>
              <w:spacing w:after="0"/>
              <w:rPr>
                <w:sz w:val="17"/>
                <w:szCs w:val="17"/>
                <w:color w:val="auto"/>
              </w:rPr>
            </w:pPr>
          </w:p>
        </w:tc>
        <w:tc>
          <w:tcPr>
            <w:tcW w:w="4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55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860" w:type="dxa"/>
            <w:vAlign w:val="bottom"/>
          </w:tcPr>
          <w:p>
            <w:pPr>
              <w:spacing w:after="0"/>
              <w:rPr>
                <w:sz w:val="17"/>
                <w:szCs w:val="17"/>
                <w:color w:val="auto"/>
              </w:rPr>
            </w:pPr>
          </w:p>
        </w:tc>
        <w:tc>
          <w:tcPr>
            <w:tcW w:w="9860" w:type="dxa"/>
            <w:vAlign w:val="bottom"/>
            <w:gridSpan w:val="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180" w:type="dxa"/>
            <w:vAlign w:val="bottom"/>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8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75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5.</w:t>
              </w:r>
            </w:hyperlink>
          </w:p>
        </w:tc>
        <w:tc>
          <w:tcPr>
            <w:tcW w:w="860" w:type="dxa"/>
            <w:vAlign w:val="bottom"/>
          </w:tcPr>
          <w:p>
            <w:pPr>
              <w:spacing w:after="0"/>
              <w:rPr>
                <w:sz w:val="17"/>
                <w:szCs w:val="17"/>
                <w:color w:val="auto"/>
              </w:rPr>
            </w:pPr>
          </w:p>
        </w:tc>
        <w:tc>
          <w:tcPr>
            <w:tcW w:w="9860" w:type="dxa"/>
            <w:vAlign w:val="bottom"/>
            <w:gridSpan w:val="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180" w:type="dxa"/>
            <w:vAlign w:val="bottom"/>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860" w:type="dxa"/>
            <w:vAlign w:val="bottom"/>
          </w:tcPr>
          <w:p>
            <w:pPr>
              <w:spacing w:after="0"/>
              <w:rPr>
                <w:sz w:val="17"/>
                <w:szCs w:val="17"/>
                <w:color w:val="auto"/>
              </w:rPr>
            </w:pP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8540" w:type="dxa"/>
            <w:vAlign w:val="bottom"/>
            <w:gridSpan w:val="4"/>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0"/>
        </w:trPr>
        <w:tc>
          <w:tcPr>
            <w:tcW w:w="5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78"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bermekimab in the United States, Europe and elsewhere;</w:t>
      </w:r>
    </w:p>
    <w:p>
      <w:pPr>
        <w:spacing w:after="0" w:line="23" w:lineRule="exact"/>
        <w:rPr>
          <w:rFonts w:ascii="Arial" w:cs="Arial" w:eastAsia="Arial" w:hAnsi="Arial"/>
          <w:sz w:val="18"/>
          <w:szCs w:val="18"/>
          <w:color w:val="auto"/>
        </w:rPr>
      </w:pPr>
    </w:p>
    <w:p>
      <w:pPr>
        <w:ind w:left="880" w:hanging="332"/>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bermekimab and other product candidates;</w:t>
      </w: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bermekimab in the United States, Europe and elsewhere;</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20"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32" w:lineRule="exact"/>
        <w:rPr>
          <w:rFonts w:ascii="Arial" w:cs="Arial" w:eastAsia="Arial" w:hAnsi="Arial"/>
          <w:sz w:val="16"/>
          <w:szCs w:val="16"/>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bermekimab and future products, if any;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collaborators’ ability to obtain and maintain regulatory approvals for our product candidates;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4" w:name="page5"/>
    <w:bookmarkEnd w:id="4"/>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23"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20" w:lineRule="exact"/>
        <w:rPr>
          <w:rFonts w:ascii="Arial" w:cs="Arial" w:eastAsia="Arial" w:hAnsi="Arial"/>
          <w:sz w:val="17"/>
          <w:szCs w:val="17"/>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1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2018 filed with the SEC on March 14, 2019, as amended by Amendment No. 1 filed with the SEC on March 15, 2019,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7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September 30, 2019</w:t>
            </w:r>
          </w:p>
        </w:tc>
        <w:tc>
          <w:tcPr>
            <w:tcW w:w="18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(unaudited)</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40,338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573</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40,911</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25,732</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66,643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960</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spacing w:after="0" w:line="201" w:lineRule="exact"/>
              <w:rPr>
                <w:sz w:val="20"/>
                <w:szCs w:val="20"/>
                <w:color w:val="auto"/>
              </w:rPr>
            </w:pPr>
            <w:r>
              <w:rPr>
                <w:rFonts w:ascii="Arial" w:cs="Arial" w:eastAsia="Arial" w:hAnsi="Arial"/>
                <w:sz w:val="18"/>
                <w:szCs w:val="18"/>
                <w:color w:val="auto"/>
                <w:w w:val="90"/>
              </w:rPr>
              <w:t>Common stock, no par value, unlimited shares authorized, 41,066,467 and 35,899,772 shares outstanding at</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September 30, 2019 and December 31, 2018, respectively</w:t>
            </w:r>
          </w:p>
        </w:tc>
        <w:tc>
          <w:tcPr>
            <w:tcW w:w="12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320,130</w:t>
            </w:r>
          </w:p>
        </w:tc>
        <w:tc>
          <w:tcPr>
            <w:tcW w:w="18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(255,566)</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64,622</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41,398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8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66,643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44,345</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9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Three Months Ended September 30,</w:t>
            </w: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4,533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13,753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1,578</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1,175</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4,169</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6,111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5,115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17,922</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(6,111)</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 exchange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90"/>
        </w:trPr>
        <w:tc>
          <w:tcPr>
            <w:tcW w:w="5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(0.15)</w:t>
            </w:r>
          </w:p>
        </w:tc>
        <w:tc>
          <w:tcPr>
            <w:tcW w:w="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(0.14)</w:t>
            </w:r>
          </w:p>
        </w:tc>
        <w:tc>
          <w:tcPr>
            <w:tcW w:w="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(0.47)</w:t>
            </w:r>
          </w:p>
        </w:tc>
        <w:tc>
          <w:tcPr>
            <w:tcW w:w="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6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41,019,230</w:t>
            </w:r>
          </w:p>
        </w:tc>
        <w:tc>
          <w:tcPr>
            <w:tcW w:w="2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35,819,772</w:t>
            </w:r>
          </w:p>
        </w:tc>
        <w:tc>
          <w:tcPr>
            <w:tcW w:w="2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38,190,584</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35,795,881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translation adjustment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br w:type="column"/>
      </w:r>
    </w:p>
    <w:p>
      <w:pPr>
        <w:jc w:val="center"/>
        <w:ind w:right="394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3940"/>
        <w:spacing w:after="0"/>
        <w:rPr>
          <w:sz w:val="20"/>
          <w:szCs w:val="20"/>
          <w:color w:val="auto"/>
        </w:rPr>
      </w:pPr>
      <w:r>
        <w:rPr>
          <w:rFonts w:ascii="Arial" w:cs="Arial" w:eastAsia="Arial" w:hAnsi="Arial"/>
          <w:sz w:val="16"/>
          <w:szCs w:val="16"/>
          <w:color w:val="auto"/>
        </w:rPr>
        <w:t>Consolidated Statements of Comprehensive Loss</w:t>
      </w:r>
    </w:p>
    <w:p>
      <w:pPr>
        <w:spacing w:after="0" w:line="32" w:lineRule="exact"/>
        <w:rPr>
          <w:sz w:val="20"/>
          <w:szCs w:val="20"/>
          <w:color w:val="auto"/>
        </w:rPr>
      </w:pPr>
    </w:p>
    <w:p>
      <w:pPr>
        <w:jc w:val="center"/>
        <w:ind w:right="3940"/>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29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Three Months Ended September 30,</w:t>
            </w: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30"/>
        </w:trPr>
        <w:tc>
          <w:tcPr>
            <w:tcW w:w="1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34"/>
        </w:trPr>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(unaudited)</w:t>
            </w:r>
          </w:p>
        </w:tc>
      </w:tr>
      <w:tr>
        <w:trPr>
          <w:trHeight w:val="425"/>
        </w:trPr>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(17,866)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(15,027)</w:t>
            </w:r>
          </w:p>
        </w:tc>
      </w:tr>
      <w:tr>
        <w:trPr>
          <w:trHeight w:val="230"/>
        </w:trPr>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274</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r>
      <w:tr>
        <w:trPr>
          <w:trHeight w:val="25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-479425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-196850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7620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2">
            <w:col w:w="3220" w:space="720"/>
            <w:col w:w="748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2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5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41,003</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319,045</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(249,416)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69,413</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(6,150)</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274</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stock under stock option plan and</w:t>
            </w: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63</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288</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797</w:t>
            </w: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41,066</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320,130</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(255,566)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64,622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35,520</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278,441</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(226,538)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51,522</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(5,051)</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expense</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438</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35,520</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278,879</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(231,589)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46,937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8"/>
        </w:trPr>
        <w:tc>
          <w:tcPr>
            <w:tcW w:w="41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Common</w:t>
            </w:r>
          </w:p>
        </w:tc>
        <w:tc>
          <w:tcPr>
            <w:tcW w:w="22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40" w:type="dxa"/>
            <w:vAlign w:val="bottom"/>
          </w:tcPr>
          <w:p>
            <w:pPr>
              <w:spacing w:after="0"/>
              <w:rPr>
                <w:sz w:val="19"/>
                <w:szCs w:val="19"/>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Stock</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20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Income (Loss)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Deficit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35,900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279,353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(237,700)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41,398</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(17,866)</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(17,866)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Issuance of common stock offering, net of issuance</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cost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4,848</w:t>
            </w:r>
          </w:p>
        </w:tc>
        <w:tc>
          <w:tcPr>
            <w:tcW w:w="3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37,487</w:t>
            </w:r>
          </w:p>
        </w:tc>
        <w:tc>
          <w:tcPr>
            <w:tcW w:w="2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37,487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Collection of stock subscription receivable</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1,853</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41,066</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320,130</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(255,566)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64,622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Common</w:t>
            </w:r>
          </w:p>
        </w:tc>
        <w:tc>
          <w:tcPr>
            <w:tcW w:w="22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40" w:type="dxa"/>
            <w:vAlign w:val="bottom"/>
          </w:tcPr>
          <w:p>
            <w:pPr>
              <w:spacing w:after="0"/>
              <w:rPr>
                <w:sz w:val="19"/>
                <w:szCs w:val="19"/>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Stock</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20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Income (Loss)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Deficit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35,439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277,492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(216,562)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60,162</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(15,027)</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(15,027)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Issuance of common stock under stock option plan</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1,186</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35,520</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278,879</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(231,589)</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46,937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4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(17,866)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1,795</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Issuance of common stock, net</w:t>
            </w:r>
          </w:p>
        </w:tc>
        <w:tc>
          <w:tcPr>
            <w:tcW w:w="1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37,487</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Collection of subscription receivable</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302</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38,924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24,515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15,823</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31,768</w:t>
            </w:r>
          </w:p>
        </w:tc>
        <w:tc>
          <w:tcPr>
            <w:tcW w:w="0" w:type="dxa"/>
            <w:vAlign w:val="bottom"/>
          </w:tcPr>
          <w:p>
            <w:pPr>
              <w:spacing w:after="0"/>
              <w:rPr>
                <w:sz w:val="1"/>
                <w:szCs w:val="1"/>
                <w:color w:val="auto"/>
              </w:rPr>
            </w:pPr>
          </w:p>
        </w:tc>
      </w:tr>
      <w:tr>
        <w:trPr>
          <w:trHeight w:val="250"/>
        </w:trPr>
        <w:tc>
          <w:tcPr>
            <w:tcW w:w="85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40,338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(Unaudited)</w:t>
      </w:r>
    </w:p>
    <w:p>
      <w:pPr>
        <w:spacing w:after="0" w:line="20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(“U.S.”)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XBiotech Inc.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The Company believes that naturally occurring monoclonal antibodies have the potential to be safer and more effective than their non-naturally occurring counterparts. XBiotech is focused on developing its True Human™ pipeline and manufacturing system. The Company’s pipeline consists of product candidates at various stages of development across an array of indications including oncology, dermatology, other inflammatory conditions, such as peripheral vascular disease, type 2 diabetes, and infectious diseases.</w:t>
      </w:r>
    </w:p>
    <w:p>
      <w:pPr>
        <w:spacing w:after="0" w:line="174" w:lineRule="exact"/>
        <w:rPr>
          <w:sz w:val="20"/>
          <w:szCs w:val="20"/>
          <w:color w:val="auto"/>
        </w:rPr>
      </w:pPr>
    </w:p>
    <w:p>
      <w:pPr>
        <w:ind w:right="8560" w:firstLine="8"/>
        <w:spacing w:after="0" w:line="503" w:lineRule="auto"/>
        <w:tabs>
          <w:tab w:leader="none" w:pos="45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These consolidated financial statements have been prepared in conformity with accounting principles generally accepted in the United States (“US GAAP”). In the opinion of management, the accompanying consolidated financial statements reflect all adjustments (consisting only of normal recurring items) considered necessary to present fairly the Company’s financial position at September 30, 2019 and December 31, 2018, the results of its operations, comprehensive loss and changes in shareholders’ equity for the three month and nine month periods ended September 30, 2019 and 2018, and the cash flows for the nine month periods ended September 30,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8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These nonrefundable advance payments are recorded within other prepaid expenses and other current assets in the consolidated balance sheets. The capitalized amounts are expensed as the related goods are delivered or the services are performed.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The Company accounts for its share-based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To determine the fair value of its common stock, the Company uses the closing price of the Company’s common stock as reported by NASDAQ.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Share-based compensation expense recognized for the three and nine months ended September 30, 2019 and 2018 was included in the following line items on the Consolidated Statements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4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00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386</w:t>
            </w:r>
          </w:p>
        </w:tc>
        <w:tc>
          <w:tcPr>
            <w:tcW w:w="9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224</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411</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215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w:t>
            </w:r>
          </w:p>
        </w:tc>
      </w:tr>
      <w:tr>
        <w:trPr>
          <w:trHeight w:val="25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8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797</w:t>
            </w:r>
          </w:p>
        </w:tc>
        <w:tc>
          <w:tcPr>
            <w:tcW w:w="9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439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Nine months Ended</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2019</w:t>
            </w: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2018</w:t>
            </w: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2019</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2018</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8"/>
              </w:rPr>
              <w:t>91%</w:t>
            </w:r>
          </w:p>
        </w:tc>
        <w:tc>
          <w:tcPr>
            <w:tcW w:w="820" w:type="dxa"/>
            <w:vAlign w:val="bottom"/>
          </w:tcPr>
          <w:p>
            <w:pPr>
              <w:jc w:val="center"/>
              <w:ind w:left="10"/>
              <w:spacing w:after="0"/>
              <w:rPr>
                <w:sz w:val="20"/>
                <w:szCs w:val="20"/>
                <w:color w:val="auto"/>
              </w:rPr>
            </w:pPr>
            <w:r>
              <w:rPr>
                <w:rFonts w:ascii="Arial" w:cs="Arial" w:eastAsia="Arial" w:hAnsi="Arial"/>
                <w:sz w:val="18"/>
                <w:szCs w:val="18"/>
                <w:color w:val="auto"/>
                <w:w w:val="88"/>
              </w:rPr>
              <w:t>79%</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88"/>
              </w:rPr>
              <w:t>80%</w:t>
            </w: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94"/>
              </w:rPr>
              <w:t>80%</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ind w:right="10"/>
              <w:spacing w:after="0"/>
              <w:rPr>
                <w:sz w:val="20"/>
                <w:szCs w:val="20"/>
                <w:color w:val="auto"/>
              </w:rPr>
            </w:pPr>
            <w:r>
              <w:rPr>
                <w:rFonts w:ascii="Arial" w:cs="Arial" w:eastAsia="Arial" w:hAnsi="Arial"/>
                <w:sz w:val="18"/>
                <w:szCs w:val="18"/>
                <w:color w:val="auto"/>
                <w:w w:val="88"/>
              </w:rPr>
              <w:t>91%</w:t>
            </w:r>
          </w:p>
        </w:tc>
        <w:tc>
          <w:tcPr>
            <w:tcW w:w="800" w:type="dxa"/>
            <w:vAlign w:val="bottom"/>
          </w:tcPr>
          <w:p>
            <w:pPr>
              <w:jc w:val="center"/>
              <w:ind w:left="10"/>
              <w:spacing w:after="0"/>
              <w:rPr>
                <w:sz w:val="20"/>
                <w:szCs w:val="20"/>
                <w:color w:val="auto"/>
              </w:rPr>
            </w:pPr>
            <w:r>
              <w:rPr>
                <w:rFonts w:ascii="Arial" w:cs="Arial" w:eastAsia="Arial" w:hAnsi="Arial"/>
                <w:sz w:val="18"/>
                <w:szCs w:val="18"/>
                <w:color w:val="auto"/>
                <w:w w:val="94"/>
              </w:rPr>
              <w:t>67%</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1.59%</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1.89%</w:t>
            </w:r>
          </w:p>
        </w:tc>
        <w:tc>
          <w:tcPr>
            <w:tcW w:w="8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2.79%</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2.99%</w:t>
            </w: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1.59%</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2.64%</w:t>
            </w:r>
          </w:p>
        </w:tc>
        <w:tc>
          <w:tcPr>
            <w:tcW w:w="8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2.38%</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5.38</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1"/>
              </w:rPr>
              <w:t>6.25</w:t>
            </w:r>
          </w:p>
        </w:tc>
        <w:tc>
          <w:tcPr>
            <w:tcW w:w="820" w:type="dxa"/>
            <w:vAlign w:val="bottom"/>
          </w:tcPr>
          <w:p>
            <w:pPr>
              <w:jc w:val="center"/>
              <w:ind w:left="10"/>
              <w:spacing w:after="0"/>
              <w:rPr>
                <w:sz w:val="20"/>
                <w:szCs w:val="20"/>
                <w:color w:val="auto"/>
              </w:rPr>
            </w:pPr>
            <w:r>
              <w:rPr>
                <w:rFonts w:ascii="Arial" w:cs="Arial" w:eastAsia="Arial" w:hAnsi="Arial"/>
                <w:sz w:val="18"/>
                <w:szCs w:val="18"/>
                <w:color w:val="auto"/>
                <w:w w:val="79"/>
              </w:rPr>
              <w:t>6</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1"/>
              </w:rPr>
              <w:t>6.25</w:t>
            </w: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85"/>
              </w:rPr>
              <w:t>5.38</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1"/>
              </w:rPr>
              <w:t>5.38</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Weighted-average grant date fair value per</w:t>
            </w: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5.66</w:t>
            </w:r>
          </w:p>
        </w:tc>
        <w:tc>
          <w:tcPr>
            <w:tcW w:w="8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3.77</w:t>
            </w:r>
          </w:p>
        </w:tc>
        <w:tc>
          <w:tcPr>
            <w:tcW w:w="7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5.14</w:t>
            </w:r>
          </w:p>
        </w:tc>
        <w:tc>
          <w:tcPr>
            <w:tcW w:w="7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4.45</w:t>
            </w: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Japanese and Canadian banks. Cash and cash equivalents are stated at cost which approximates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52" w:lineRule="exact"/>
        <w:rPr>
          <w:rFonts w:ascii="Arial" w:cs="Arial" w:eastAsia="Arial" w:hAnsi="Arial"/>
          <w:sz w:val="18"/>
          <w:szCs w:val="18"/>
          <w:color w:val="auto"/>
        </w:rPr>
      </w:pPr>
    </w:p>
    <w:p>
      <w:pPr>
        <w:ind w:left="880" w:right="56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97" w:lineRule="exact"/>
        <w:rPr>
          <w:rFonts w:ascii="Arial" w:cs="Arial" w:eastAsia="Arial" w:hAnsi="Arial"/>
          <w:sz w:val="18"/>
          <w:szCs w:val="18"/>
          <w:color w:val="auto"/>
        </w:rPr>
      </w:pPr>
    </w:p>
    <w:p>
      <w:pPr>
        <w:ind w:left="880" w:right="20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97"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At September 30, 2019 and December 31, 2018,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September 30, 2019 and December 31, 2018, due to their short-term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60"/>
              <w:spacing w:after="0"/>
              <w:rPr>
                <w:sz w:val="20"/>
                <w:szCs w:val="20"/>
                <w:color w:val="auto"/>
              </w:rPr>
            </w:pPr>
            <w:r>
              <w:rPr>
                <w:rFonts w:ascii="Arial" w:cs="Arial" w:eastAsia="Arial" w:hAnsi="Arial"/>
                <w:sz w:val="18"/>
                <w:szCs w:val="18"/>
                <w:color w:val="auto"/>
              </w:rPr>
              <w:t>Furniture and fixtures</w:t>
            </w:r>
          </w:p>
        </w:tc>
        <w:tc>
          <w:tcPr>
            <w:tcW w:w="5120" w:type="dxa"/>
            <w:vAlign w:val="bottom"/>
          </w:tcPr>
          <w:p>
            <w:pPr>
              <w:ind w:left="1360"/>
              <w:spacing w:after="0"/>
              <w:rPr>
                <w:sz w:val="20"/>
                <w:szCs w:val="20"/>
                <w:color w:val="auto"/>
              </w:rPr>
            </w:pPr>
            <w:r>
              <w:rPr>
                <w:rFonts w:ascii="Arial" w:cs="Arial" w:eastAsia="Arial" w:hAnsi="Arial"/>
                <w:sz w:val="18"/>
                <w:szCs w:val="18"/>
                <w:color w:val="auto"/>
              </w:rPr>
              <w:t>7 years</w:t>
            </w:r>
          </w:p>
        </w:tc>
      </w:tr>
      <w:tr>
        <w:trPr>
          <w:trHeight w:val="43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60"/>
              <w:spacing w:after="0"/>
              <w:rPr>
                <w:sz w:val="20"/>
                <w:szCs w:val="20"/>
                <w:color w:val="auto"/>
              </w:rPr>
            </w:pPr>
            <w:r>
              <w:rPr>
                <w:rFonts w:ascii="Arial" w:cs="Arial" w:eastAsia="Arial" w:hAnsi="Arial"/>
                <w:sz w:val="18"/>
                <w:szCs w:val="18"/>
                <w:color w:val="auto"/>
              </w:rPr>
              <w:t>Office equipment</w:t>
            </w:r>
          </w:p>
        </w:tc>
        <w:tc>
          <w:tcPr>
            <w:tcW w:w="5120" w:type="dxa"/>
            <w:vAlign w:val="bottom"/>
          </w:tcPr>
          <w:p>
            <w:pPr>
              <w:ind w:left="1360"/>
              <w:spacing w:after="0"/>
              <w:rPr>
                <w:sz w:val="20"/>
                <w:szCs w:val="20"/>
                <w:color w:val="auto"/>
              </w:rPr>
            </w:pPr>
            <w:r>
              <w:rPr>
                <w:rFonts w:ascii="Arial" w:cs="Arial" w:eastAsia="Arial" w:hAnsi="Arial"/>
                <w:sz w:val="18"/>
                <w:szCs w:val="18"/>
                <w:color w:val="auto"/>
              </w:rPr>
              <w:t>5 years</w:t>
            </w:r>
          </w:p>
        </w:tc>
      </w:tr>
      <w:tr>
        <w:trPr>
          <w:trHeight w:val="43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60"/>
              <w:spacing w:after="0"/>
              <w:rPr>
                <w:sz w:val="20"/>
                <w:szCs w:val="20"/>
                <w:color w:val="auto"/>
              </w:rPr>
            </w:pPr>
            <w:r>
              <w:rPr>
                <w:rFonts w:ascii="Arial" w:cs="Arial" w:eastAsia="Arial" w:hAnsi="Arial"/>
                <w:sz w:val="18"/>
                <w:szCs w:val="18"/>
                <w:color w:val="auto"/>
              </w:rPr>
              <w:t>Leasehold improvements</w:t>
            </w:r>
          </w:p>
        </w:tc>
        <w:tc>
          <w:tcPr>
            <w:tcW w:w="5120" w:type="dxa"/>
            <w:vAlign w:val="bottom"/>
          </w:tcPr>
          <w:p>
            <w:pPr>
              <w:ind w:left="1360"/>
              <w:spacing w:after="0"/>
              <w:rPr>
                <w:sz w:val="20"/>
                <w:szCs w:val="20"/>
                <w:color w:val="auto"/>
              </w:rPr>
            </w:pPr>
            <w:r>
              <w:rPr>
                <w:rFonts w:ascii="Arial" w:cs="Arial" w:eastAsia="Arial" w:hAnsi="Arial"/>
                <w:sz w:val="18"/>
                <w:szCs w:val="18"/>
                <w:color w:val="auto"/>
                <w:w w:val="90"/>
              </w:rPr>
              <w:t>Shorter of asset’s useful life or remaining lease term</w:t>
            </w:r>
          </w:p>
        </w:tc>
      </w:tr>
      <w:tr>
        <w:trPr>
          <w:trHeight w:val="43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60"/>
              <w:spacing w:after="0"/>
              <w:rPr>
                <w:sz w:val="20"/>
                <w:szCs w:val="20"/>
                <w:color w:val="auto"/>
              </w:rPr>
            </w:pPr>
            <w:r>
              <w:rPr>
                <w:rFonts w:ascii="Arial" w:cs="Arial" w:eastAsia="Arial" w:hAnsi="Arial"/>
                <w:sz w:val="18"/>
                <w:szCs w:val="18"/>
                <w:color w:val="auto"/>
              </w:rPr>
              <w:t>Scientific equipment</w:t>
            </w:r>
          </w:p>
        </w:tc>
        <w:tc>
          <w:tcPr>
            <w:tcW w:w="5120" w:type="dxa"/>
            <w:vAlign w:val="bottom"/>
          </w:tcPr>
          <w:p>
            <w:pPr>
              <w:ind w:left="1360"/>
              <w:spacing w:after="0"/>
              <w:rPr>
                <w:sz w:val="20"/>
                <w:szCs w:val="20"/>
                <w:color w:val="auto"/>
              </w:rPr>
            </w:pPr>
            <w:r>
              <w:rPr>
                <w:rFonts w:ascii="Arial" w:cs="Arial" w:eastAsia="Arial" w:hAnsi="Arial"/>
                <w:sz w:val="18"/>
                <w:szCs w:val="18"/>
                <w:color w:val="auto"/>
              </w:rPr>
              <w:t>5 years</w:t>
            </w:r>
          </w:p>
        </w:tc>
      </w:tr>
      <w:tr>
        <w:trPr>
          <w:trHeight w:val="43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60"/>
              <w:spacing w:after="0"/>
              <w:rPr>
                <w:sz w:val="20"/>
                <w:szCs w:val="20"/>
                <w:color w:val="auto"/>
              </w:rPr>
            </w:pPr>
            <w:r>
              <w:rPr>
                <w:rFonts w:ascii="Arial" w:cs="Arial" w:eastAsia="Arial" w:hAnsi="Arial"/>
                <w:sz w:val="18"/>
                <w:szCs w:val="18"/>
                <w:color w:val="auto"/>
              </w:rPr>
              <w:t>Vehicles</w:t>
            </w:r>
          </w:p>
        </w:tc>
        <w:tc>
          <w:tcPr>
            <w:tcW w:w="5120" w:type="dxa"/>
            <w:vAlign w:val="bottom"/>
          </w:tcPr>
          <w:p>
            <w:pPr>
              <w:ind w:left="1360"/>
              <w:spacing w:after="0"/>
              <w:rPr>
                <w:sz w:val="20"/>
                <w:szCs w:val="20"/>
                <w:color w:val="auto"/>
              </w:rPr>
            </w:pPr>
            <w:r>
              <w:rPr>
                <w:rFonts w:ascii="Arial" w:cs="Arial" w:eastAsia="Arial" w:hAnsi="Arial"/>
                <w:sz w:val="18"/>
                <w:szCs w:val="18"/>
                <w:color w:val="auto"/>
              </w:rPr>
              <w:t>5 years</w:t>
            </w:r>
          </w:p>
        </w:tc>
      </w:tr>
      <w:tr>
        <w:trPr>
          <w:trHeight w:val="43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60"/>
              <w:spacing w:after="0"/>
              <w:rPr>
                <w:sz w:val="20"/>
                <w:szCs w:val="20"/>
                <w:color w:val="auto"/>
              </w:rPr>
            </w:pPr>
            <w:r>
              <w:rPr>
                <w:rFonts w:ascii="Arial" w:cs="Arial" w:eastAsia="Arial" w:hAnsi="Arial"/>
                <w:sz w:val="18"/>
                <w:szCs w:val="18"/>
                <w:color w:val="auto"/>
              </w:rPr>
              <w:t>Building</w:t>
            </w:r>
          </w:p>
        </w:tc>
        <w:tc>
          <w:tcPr>
            <w:tcW w:w="5120" w:type="dxa"/>
            <w:vAlign w:val="bottom"/>
          </w:tcPr>
          <w:p>
            <w:pPr>
              <w:ind w:left="1360"/>
              <w:spacing w:after="0"/>
              <w:rPr>
                <w:sz w:val="20"/>
                <w:szCs w:val="20"/>
                <w:color w:val="auto"/>
              </w:rPr>
            </w:pPr>
            <w:r>
              <w:rPr>
                <w:rFonts w:ascii="Arial" w:cs="Arial" w:eastAsia="Arial" w:hAnsi="Arial"/>
                <w:sz w:val="18"/>
                <w:szCs w:val="18"/>
                <w:color w:val="auto"/>
              </w:rPr>
              <w:t>39 years</w:t>
            </w: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September 30, 2019.</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Income taxes are recorded in accordance with ASC 740, Accounting for Income Taxes (“ASC 740”), which provides for deferred taxes using an asset and liability approach. The Company recognizes deferred tax assets and liabilities for the expected future tax consequences of events that have been included in the financial statements or tax returns. The Company determines its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ASC 740 clarifies the accounting for uncertainty in income taxes recognized in the financial statements and provides that a tax benefit from an uncertain tax position may be recognized when it is more likely than not that the position will be sustained upon examination, including resolutions of any related appeals or litigation processes, based on the technical merits. This interpretation also provides guidance on measurement, derecognition, classification, interest and penalties, accounting in interim periods and disclosure. The Company’s policy for recording interest and penalties associated with uncertain tax positions is to record such items as a component of tax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February 2016, the FASB established Topic 842, Leases, by issuing Accounting Standards Update (ASU) No. 2016-02, which supersedes ASC 840, Leases, and requires lessees to recognize leases on-balance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Topic 842, as amended (the "new lease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The effective date of the new guidance is for the Company’s first quarter of fiscal year 2019. The FASB has approved an optional, alternative method to adopt the lease standard by recognizing a cumulative-effect adjustment to the opening balance of retained earnings in the period of adoption. The Company adopted the new standard effective January 1, 2019, using the alternative method. The Company does not have a cumulative adjustment impacting retained earnings. Adoption of the lease standard did not have a material impact on the Company’s consolidated financial statements.</w:t>
      </w:r>
    </w:p>
    <w:p>
      <w:pPr>
        <w:spacing w:after="0" w:line="16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This ASU requires instruments measured at amortized cost to be presented at the net amount expected to be collected. Entities are also required to record allowances for available-for-sale debt securities rather than reduce the carrying amount. This ASU is effective for fiscal years beginning after December 15, 2019, including interim periods within those fiscal years. The Company expects that the adoption will not have a material impact on its consolidated financial statements.</w:t>
      </w:r>
    </w:p>
    <w:p>
      <w:pPr>
        <w:spacing w:after="0" w:line="18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as of September 30, 2019 and December 31, 2018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97"/>
              </w:rPr>
              <w:t>September 30, 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88"/>
              </w:rPr>
              <w:t>December 31, 2018</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3,838</w:t>
            </w: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Winnebago building</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19,541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19,945</w:t>
            </w:r>
          </w:p>
        </w:tc>
      </w:tr>
      <w:tr>
        <w:trPr>
          <w:trHeight w:val="230"/>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18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8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25,732</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27,329</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From January through December 2018, 161 thousand shares of common stock were issued upon the exercise of stock options at a price of $2.50 per share for a total of $401 thousand, of which $200 thousand was subscription receivables received in the first quarter of 2019.</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From January through June 2019, 255 thousand shares of common stock were issued upon the exercise of stock options at a price between $2.50 to $10.00 per share for a total of $939 thousand.</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During June 2019, under the Common Shares Purchase Agreement with Piper Jaffray &amp; Co., the Company sold 4.8 million shares of common stock at a price $8.25 per share for total net proceeds of $37.5 million, including the capitalized underwriter’s commission of $2.3 million and other related fees of $0.2 million.</w:t>
      </w:r>
    </w:p>
    <w:p>
      <w:pPr>
        <w:spacing w:after="0" w:line="181"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From July through September 2019, 63 thousand shares of common stock were issued upon the exercise of stock options at a price of $3.90 to $5.01 per share for total proceeds of $0.3 million.</w:t>
      </w:r>
    </w:p>
    <w:p>
      <w:pPr>
        <w:spacing w:after="0" w:line="16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On November 11, 2005 and April 1, 2015, the board of directors of the Company adopted stock option plans (“the Plans”) pursuant to which the Company may grant incentive stock options to directors, officers, employees or consultants of the Company or an affiliate or other persons as the Compensation Committee may approve.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the Plans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common stock options issued under the Plans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w w:val="88"/>
              </w:rPr>
              <w:t>Weighted-Average</w:t>
            </w: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Options</w:t>
            </w:r>
          </w:p>
        </w:tc>
        <w:tc>
          <w:tcPr>
            <w:tcW w:w="1380" w:type="dxa"/>
            <w:vAlign w:val="bottom"/>
            <w:gridSpan w:val="3"/>
          </w:tcPr>
          <w:p>
            <w:pPr>
              <w:ind w:left="140"/>
              <w:spacing w:after="0"/>
              <w:rPr>
                <w:sz w:val="20"/>
                <w:szCs w:val="20"/>
                <w:color w:val="auto"/>
              </w:rPr>
            </w:pPr>
            <w:r>
              <w:rPr>
                <w:rFonts w:ascii="Arial" w:cs="Arial" w:eastAsia="Arial" w:hAnsi="Arial"/>
                <w:sz w:val="18"/>
                <w:szCs w:val="18"/>
                <w:b w:val="1"/>
                <w:bCs w:val="1"/>
                <w:color w:val="auto"/>
                <w:w w:val="99"/>
              </w:rPr>
              <w:t>Exercise Price</w:t>
            </w:r>
          </w:p>
        </w:tc>
        <w:tc>
          <w:tcPr>
            <w:tcW w:w="20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2018</w:t>
            </w:r>
          </w:p>
        </w:tc>
        <w:tc>
          <w:tcPr>
            <w:tcW w:w="1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5,535,439</w:t>
            </w: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$2.50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$21.99</w:t>
            </w:r>
          </w:p>
        </w:tc>
        <w:tc>
          <w:tcPr>
            <w:tcW w:w="2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832,500</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5.15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9.84</w:t>
            </w:r>
          </w:p>
        </w:tc>
        <w:tc>
          <w:tcPr>
            <w:tcW w:w="2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(328,210)</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Forfeitures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(225,959)</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16.50</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7.81</w:t>
            </w:r>
          </w:p>
        </w:tc>
        <w:tc>
          <w:tcPr>
            <w:tcW w:w="2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2019</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5,813,770</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$21.99</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2019, there was approximately $4.7 million of unrecognized compensation cost, related to stock options granted under the Plans which will be amortized to stock compensation expense over the next 2.02 years.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5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never been profitable and, as of September 30, 2019, we had an accumulated deficit of $255.6 million. We had net losses of $6.2 million and $17.9 million for the three months and nine months ended September 30, 2019, respectively, compared to $5.1 million and $15.0 million for the three months and nine months ended September 30, 2018, respectively.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continue to operate as a public company. We will need to generate significant revenues to achieve profitability, and we may never do so. As of September 30, 2019, we had 58 employees.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The Company launched a randomized, double blind, placebo-controlled, multi-center phase 2 studies evaluating bermekimab subcutaneous formulation in adults with moderate to severe Hidradenitis Suppurativa (HS). The study, chaired by reknown dermatologist Dr. Alice Gottlieb, will involve150 patients into three arms: two bermekimab dosing regimens versus a placebo arm over sixteen (16) weeks of therapy. The study’s primary endpoint is the percentage of subjects achieving Hidradenitis Suppurativa Clinical Response (HiSCR) at week 12. Multiple secondary efficacy endpoints will be assessed after 12 and 16 weeks of therapy (for more information on this study please visit www.clinicaltrials.gov). This will be the third study undertaken by the Company in this indication. Results from an earlier, smaller randomized study are published in the </w:t>
      </w:r>
      <w:r>
        <w:rPr>
          <w:rFonts w:ascii="Arial" w:cs="Arial" w:eastAsia="Arial" w:hAnsi="Arial"/>
          <w:sz w:val="17"/>
          <w:szCs w:val="17"/>
          <w:i w:val="1"/>
          <w:iCs w:val="1"/>
          <w:color w:val="auto"/>
        </w:rPr>
        <w:t>Journal of Investigative Dermatology</w:t>
      </w:r>
      <w:r>
        <w:rPr>
          <w:rFonts w:ascii="Arial" w:cs="Arial" w:eastAsia="Arial" w:hAnsi="Arial"/>
          <w:sz w:val="17"/>
          <w:szCs w:val="17"/>
          <w:color w:val="auto"/>
        </w:rPr>
        <w:t>. This study met its primary endpoint, demonstrating significant improvement of HiSCR in patients treated with bermekimab compared to control after 12 weeks of therapy (response rate of 60% vs 10%, respectively (p=0.035)).</w:t>
      </w:r>
    </w:p>
    <w:p>
      <w:pPr>
        <w:spacing w:after="0" w:line="1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also launched a randomized, double blind, placebo-controlled, multi-center phase 2 studies evaluating bermekimab subcutaneous formulation in adults with moderate to severe and Atopic Dermatitis (AD). The study, chaired by Dr. Seth Forman, is expected to have its first patient enrolled around the time of release of this filing and will involve 90 patients into three arms: two bermekimab dosing regimens versus a placebo arm over sixteen (16) weeks of therapy. In October, the Company presented results of an ealier open-label study with bermekimab in atopic dermatitis at the European Academy of Dermatology and Venereology (EADV) Congress, a leading annual dermatology conference. A highlight of the presented data was the observation that after only 8 weeks of bermekimab therapy, three-fourths of patients achieved 75% improvement in their Eczema Area and Severity Index (EASI 75) scores, which is a key assessment of response to therapy in AD. The current standard of care and the only approved biological therapy for AD involves a 16 week treatment regimen, and their clinical trials have shown to result in 44-51% of patients achieving 75% improvement in EASI score. In addition, Dr. Gottlieb presented signficant reduction in itch, with 75% of patients achieving clinically significant improvement in 8 weeks.</w:t>
      </w:r>
    </w:p>
    <w:p>
      <w:pPr>
        <w:spacing w:after="0" w:line="167"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The Company also announced enrollment of the first patient in a phase 2, randomized double-blind, placebo-controlled clinical study evaluating bermekimab therapy in adults with systemic sclerosis (SSc), otherwise known as scleroderma. The primary endpoint of the study will be measured at 12 weeks, and will assess SSc disease severity using a combination of rheumatological, clinical, and physiological measures. This is the first study for bermekimab in rheumatology, which the Company believes has the potential to be a very important area of medicine for bermekimab therapy. The ongoing study will randomize patients 1:1 to receive either weekly subcutaneous injections of bermekimab or placebo. The study will also include an open label weekly bermekimab treatment regimen during weeks 13-24, where patients will continue to be evaluated using the same endpoints.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ind w:right="240" w:firstLine="648"/>
        <w:spacing w:after="0" w:line="274" w:lineRule="auto"/>
        <w:rPr>
          <w:sz w:val="20"/>
          <w:szCs w:val="20"/>
          <w:color w:val="auto"/>
        </w:rPr>
      </w:pPr>
      <w:r>
        <w:rPr>
          <w:rFonts w:ascii="Arial" w:cs="Arial" w:eastAsia="Arial" w:hAnsi="Arial"/>
          <w:sz w:val="17"/>
          <w:szCs w:val="17"/>
          <w:color w:val="auto"/>
        </w:rPr>
        <w:t>The Company reported that it strengthened its already considerable IP position during the quarter, including granting of important broad Canadian patents for bermkimab in the treatment of dermatological pathologies. In September the Company announced the Canadian Patent Office</w:t>
      </w:r>
    </w:p>
    <w:p>
      <w:pPr>
        <w:ind w:right="260"/>
        <w:spacing w:after="0" w:line="255" w:lineRule="auto"/>
        <w:rPr>
          <w:sz w:val="20"/>
          <w:szCs w:val="20"/>
          <w:color w:val="auto"/>
        </w:rPr>
      </w:pPr>
      <w:r>
        <w:rPr>
          <w:rFonts w:ascii="Arial" w:cs="Arial" w:eastAsia="Arial" w:hAnsi="Arial"/>
          <w:sz w:val="18"/>
          <w:szCs w:val="18"/>
          <w:color w:val="auto"/>
        </w:rPr>
        <w:t>granted XBiotech Patent Number 56003542-6CA, covering the use of bermekimab in the treatment of inflammatory skin diseases. The patent describes studies showing that antibodies which specifically neutralize the activity of interleukin-1alpha (IL-1α), such as bermekimab, reduce skin inflammation and treat inflammatory skin diseases.</w:t>
      </w:r>
    </w:p>
    <w:p>
      <w:pPr>
        <w:spacing w:after="0" w:line="190"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XBiotech plans to continue the development of its clinical pipeline along with research and development efforts to enable selection of drug candidates and research projects for further development in response to their preclinical and clinical success and commercial potential.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Risks</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clinical trials, is expected to depend on the amount and timing of cash receipts from future collaboration or product sales and/or financing transactions. The Company believes that its cash and cash equivalents of $40.3 million at September 30, 2019 will enable the Company to achieve some key inflection points, including clinical studies in certain indication(s), as well as on-going R&amp;D efforts for the Company’s pre-clinical pipeline. Based on our research and development plans and our timing expectations related to the progress of our programs, we expect that our cash and cash equivalents as of September 30, 2019 will enable us to fund our operating expenses and capital expenditure requirements through September 30, 2020. We have based this estimate on assumptions that may prove to be inaccurate, and we could utilize our available capital resources sooner than we currently expect.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To date, we have not generated any revenue. Our ability to generate revenue and become profitable depends on our ability to successfully commercialize our lead product candidate, bermekimab, or any other product candidate we may advance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share-based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September 30, 2019, we have recorded total research and development expenses, including share-based compensation, of $199.4 million. Our total research and development expenses for the three months and nine months ended September 30, 2019 were $4.5 million and $13.8 million, respectively, compared to $3.9 million and $10.9 million for the three months and nine months ended September 30, 2018, respectively. Share-based compensation accounted for $0.4 million and $1.0 million for the three months and nine months ended September 30, 2019, respectively, compared to $0.2 million and $0.5 million for the three months and nine months ended September 30, 2018, respectively.</w:t>
      </w:r>
    </w:p>
    <w:p>
      <w:pPr>
        <w:spacing w:after="0" w:line="18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Research and development expenses, as a percentage of total operating expenses for the three months and nine months ended September 30, 2019 were 74% and 77% compared to 77% and 73% for the three months and nine months ended September 30, 2018, respectively. The percentages,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share-based compensation, for the three months and nine months ended September 30, 2019 were 78% and 79%, compared to 79% and 76% for the three months and nine months ended September 30, 2018, respectively.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200" w:firstLine="648"/>
        <w:spacing w:after="0" w:line="277" w:lineRule="auto"/>
        <w:rPr>
          <w:sz w:val="20"/>
          <w:szCs w:val="20"/>
          <w:color w:val="auto"/>
        </w:rPr>
      </w:pPr>
      <w:r>
        <w:rPr>
          <w:rFonts w:ascii="Arial" w:cs="Arial" w:eastAsia="Arial" w:hAnsi="Arial"/>
          <w:sz w:val="18"/>
          <w:szCs w:val="18"/>
          <w:color w:val="auto"/>
        </w:rPr>
        <w:t>The clinical development costs may further increase going forward with potentially more advanced studies in the future as we evaluate our clinical data and pipeline.</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and nine months ended September 30, 2019 were $1.6 million and $4.2 million, respectively, compared to $1.2 million and $4.0 million for the three months and nine months ended September 30, 2018, respectively. Share-based compensation accounted for $0.4 million and $0.9 million for the three months and nine months ended September 30, 2019, respectively, compared to $0.2 million and $0.7 million for the three months and nine months ended September 30, 2018, respectively.</w:t>
      </w:r>
    </w:p>
    <w:p>
      <w:pPr>
        <w:spacing w:after="0" w:line="18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General and administrative expenses, as a percentage of total operating expenses for the three months and nine months ended September 30, 2019 were 26% and 23%, compared to 23% and 27% for the three months and nine months ended September 30, 2018, respectively. The percentages,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share-based compensation, for the three months and nine months ended September 30, 2019 were 22% and 20%, compared to 21% and 24% for the three months and nine months ended September 30,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judgments, estimates and assumptions in the preparation of our consolidated financial statements and accompanying notes. Actual results could differ from those estimates. We believe there have been no significant changes in our critical accounting policies as discussed in our Annual Report on Form 10-K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record any revenue during the three months and nine months ended September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2018</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5"/>
              </w:rPr>
              <w:t>(Decrease)</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1,048</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3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520</w:t>
            </w: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386</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162</w:t>
            </w:r>
          </w:p>
        </w:tc>
        <w:tc>
          <w:tcPr>
            <w:tcW w:w="1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1,453</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1,724</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4,533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3,940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592</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Increase</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2018</w:t>
            </w: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(Decrease)</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3"/>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3,640</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3,088</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3,634</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2,469</w:t>
            </w:r>
          </w:p>
        </w:tc>
        <w:tc>
          <w:tcPr>
            <w:tcW w:w="14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852</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972</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498</w:t>
            </w:r>
          </w:p>
        </w:tc>
        <w:tc>
          <w:tcPr>
            <w:tcW w:w="14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4,655</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5,114</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13,753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10,882</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2,871</w:t>
            </w: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Research and development expenses increased 15% to $4.5 million for the three months ended September 30, 2019 compared to $3.9 million for the three months ended September 30, 2018. Research and development expenses increased 26% to $13.8 million for the nine months ended September 30, 2019 compared to $10.9 million for the nine months ended September 30, 2018.</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three month increase in research and development expenses was mainly due to a $0.5 million increase of laboratory and manufacturing supplies, related to the clinical drug manufacturing for the clinical trial opened in the third quarter of the year. Clinical trials and sponsored research expense decreased due to the completion of two clinical trials started in 2018 and the newly opened clinical trial hasn’t fully executed. In addition, there was an increase in salary and related expenses and share-based compensation due to the increase of our research and development workforce from 44 to 53. Also, the increase was offset by the $0.3 million decrease in facility expense in other fees, because of the full termination of the lease associated with the office building on Riverside in Austin Texas.</w:t>
      </w:r>
    </w:p>
    <w:p>
      <w:pPr>
        <w:spacing w:after="0" w:line="193"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Compared to the nine months ended September 30, 2018, the research and development expense increase in the nine months ended September 30, 2019 was primarily caused by the increase of laboratory and manufacturing supplies for the clinical trial opened in the third quarter of the year. Labor costs and share-based compensation also increased due to the growing size of the research and development workforce.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2018</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5"/>
              </w:rPr>
              <w:t>(Decrease)</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Patent filing expense</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1,578</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403</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2018</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5"/>
              </w:rPr>
              <w:t>(Decrease)</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862</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Patent filing expense</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542</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3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(67)</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761</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3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208</w:t>
            </w: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1,231</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4,169</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4,004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165</w:t>
            </w: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General and administrative expenses increased 34% to $1.6 million for the three months ended September 30, 2019 compared to $1.2 million for the three months ended September 30, 2018. General and administrative expenses increased 4% to $4.2 million for the nine months ended September 30, 2019 compared to $4.0 million for the nine months ended September 30, 2018.</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three months increase was primarily related to a $0.2 million increased in salaries and related expense due to the $228 thousand bonus paid to the Chief Executive Officer in July 2019. Share-based compensation increased due to the 300 thousand stock options granted to the Chief Executive Officer in 2019 compared to 200 thousand in 2018.</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Compared to the nine months ended September 30, 2018, , the general and administrative expense slightly increased in the nine months ended September 30, 2019 was primarily caused by the increase in professional fees due to services for underwriter agreement in Q2. Share-based compensation increased due to the stock options granted to the Chief Executive Officer and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other income (loss)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Three Months Ended September 30,</w:t>
            </w: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34"/>
        </w:trPr>
        <w:tc>
          <w:tcPr>
            <w:tcW w:w="5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379</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income</w:t>
            </w:r>
          </w:p>
        </w:tc>
        <w:tc>
          <w:tcPr>
            <w:tcW w:w="90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(289)</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50"/>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73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The interest income for the three months and nine months ended September 30, 2019 and 2018 was mainly from the interest generated from the Company’s Canadian bank account. Foreign exchange loss was mainly due to the fluctuation between US dollar and Euro in the three months and nine months ended September 30, 2019 compared to the three months and nine months ended September 30,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Since our inception on March 22, 2005 through September 30, 2019, we have funded our operations principally through public offerings and the private placement of equity securities, which have provided aggregate cash proceeds of approximately $296.3 million. The following table summarizes our sources and uses of cash (in thousands):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440" w:type="dxa"/>
            <w:vAlign w:val="bottom"/>
            <w:gridSpan w:val="2"/>
          </w:tcPr>
          <w:p>
            <w:pPr>
              <w:spacing w:after="0"/>
              <w:rPr>
                <w:sz w:val="20"/>
                <w:szCs w:val="20"/>
                <w:color w:val="auto"/>
              </w:rPr>
            </w:pPr>
            <w:r>
              <w:rPr>
                <w:rFonts w:ascii="Arial" w:cs="Arial" w:eastAsia="Arial" w:hAnsi="Arial"/>
                <w:sz w:val="18"/>
                <w:szCs w:val="18"/>
                <w:color w:val="auto"/>
              </w:rPr>
              <w:t>Net cash (used in) provided by:</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(14,524)</w:t>
            </w: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(11,421)</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Investing activities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38,924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1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250"/>
        </w:trPr>
        <w:tc>
          <w:tcPr>
            <w:tcW w:w="20" w:type="dxa"/>
            <w:vAlign w:val="bottom"/>
          </w:tcPr>
          <w:p>
            <w:pPr>
              <w:spacing w:after="0"/>
              <w:rPr>
                <w:sz w:val="21"/>
                <w:szCs w:val="21"/>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24,515</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6"/>
          <w:szCs w:val="16"/>
          <w:color w:val="auto"/>
        </w:rPr>
        <w:t>During the nine months ended September 30, 2019 and 2018, our operating activities used net cash of $14.5 million and $11.4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use of net cash in each of these periods primarily resulted from our net losses. The increase in net loss from operations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as compared to the nine months ended September 30, 2018 was mainly due to the increase in laboratory and manufacturing supplies.</w:t>
      </w:r>
    </w:p>
    <w:p>
      <w:pPr>
        <w:spacing w:after="0" w:line="234"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During the nine months ended September 30, 2019 and 2018, our investing activities used net cash of $198 thousand and $114 thousand, respectively. The use of cash was for the purchase of new research and development equipment.</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nine months ended September 30, 2019 and 2018, our financing activities provided net cash proceeds of $38.9 million and $0.2 million, respectively. During the nine months ended September 30, 2019, the Company sold 4.8 million shares under the Common Shares Purchase Agreement with Piper Jaffray &amp; Co for net proceeds of approximately $37.5 million. Employees exercised stock options to purchase a total of 318 thousand shares of our common stock for approximately $1.2 million in net proceeds. In this period, the Company also collected $0.3 million of its subscription receivable balance. During the nine months ended September 30, 2018, employees exercised stock options to purchase a total of 81 thousand shares of our common stock for approximately $0.2 million in net proceeds.</w:t>
      </w:r>
    </w:p>
    <w:p>
      <w:pPr>
        <w:spacing w:after="0" w:line="19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expect to continue to incur substantial operating losses in the future. We will not receive any product revenue until a drug candidate has been approved by the FDA, EMA or similar regulatory agencies in other countries and successfully commercialized, or other potential business development transaction.. As of September 30, 2019, our principal sources of liquidity were our cash and cash equivalents, which totaled approximately $40.3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of Market Risks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third quarter of the year ended December 31, 2019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9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Risk Factors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There have been no material changes to the risk factors included in our Annual Report on Form 10-K for the year ended December 31, 2018. Please carefully consider the information set forth in this Quarterly Report on Form 10-Q and the risk factors discussed in Part I, “Item 1A. Risk Factors” in our Annual Report on Form 10-K for the year ended December 31, 2018,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88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2"/>
        </w:trPr>
        <w:tc>
          <w:tcPr>
            <w:tcW w:w="2300" w:type="dxa"/>
            <w:vAlign w:val="bottom"/>
            <w:gridSpan w:val="3"/>
          </w:tcPr>
          <w:p>
            <w:pPr>
              <w:ind w:left="500"/>
              <w:spacing w:after="0"/>
              <w:rPr>
                <w:rFonts w:ascii="Arial" w:cs="Arial" w:eastAsia="Arial" w:hAnsi="Arial"/>
                <w:sz w:val="18"/>
                <w:szCs w:val="18"/>
                <w:color w:val="0000EE"/>
              </w:rPr>
            </w:pPr>
            <w:hyperlink w:anchor="page2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20" w:type="dxa"/>
            <w:vAlign w:val="bottom"/>
          </w:tcPr>
          <w:p>
            <w:pPr>
              <w:spacing w:after="0"/>
              <w:rPr>
                <w:sz w:val="24"/>
                <w:szCs w:val="24"/>
                <w:color w:val="auto"/>
              </w:rPr>
            </w:pPr>
          </w:p>
        </w:tc>
        <w:tc>
          <w:tcPr>
            <w:tcW w:w="7840" w:type="dxa"/>
            <w:vAlign w:val="bottom"/>
            <w:gridSpan w:val="5"/>
          </w:tcPr>
          <w:p>
            <w:pPr>
              <w:ind w:left="480"/>
              <w:spacing w:after="0"/>
              <w:rPr>
                <w:rFonts w:ascii="Arial" w:cs="Arial" w:eastAsia="Arial" w:hAnsi="Arial"/>
                <w:sz w:val="18"/>
                <w:szCs w:val="18"/>
                <w:color w:val="0000EE"/>
                <w:w w:val="97"/>
              </w:rPr>
            </w:pPr>
            <w:hyperlink w:anchor="page27">
              <w:r>
                <w:rPr>
                  <w:rFonts w:ascii="Arial" w:cs="Arial" w:eastAsia="Arial" w:hAnsi="Arial"/>
                  <w:sz w:val="18"/>
                  <w:szCs w:val="18"/>
                  <w:color w:val="0000EE"/>
                  <w:w w:val="97"/>
                </w:rPr>
                <w:t>Certification of Principal Executive Officer Required Under Rule 13a-14(a) and 15d-14(a) of the</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60" w:type="dxa"/>
            <w:vAlign w:val="bottom"/>
            <w:gridSpan w:val="6"/>
          </w:tcPr>
          <w:p>
            <w:pPr>
              <w:ind w:left="10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Securities Exchange Act of 1934, as amended.</w:t>
              </w:r>
            </w:hyperlink>
          </w:p>
        </w:tc>
      </w:tr>
      <w:tr>
        <w:trPr>
          <w:trHeight w:val="20"/>
        </w:trPr>
        <w:tc>
          <w:tcPr>
            <w:tcW w:w="23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300" w:type="dxa"/>
            <w:vAlign w:val="bottom"/>
            <w:gridSpan w:val="3"/>
          </w:tcPr>
          <w:p>
            <w:pPr>
              <w:ind w:left="500"/>
              <w:spacing w:after="0"/>
              <w:rPr>
                <w:rFonts w:ascii="Arial" w:cs="Arial" w:eastAsia="Arial" w:hAnsi="Arial"/>
                <w:sz w:val="18"/>
                <w:szCs w:val="18"/>
                <w:color w:val="0000EE"/>
              </w:rPr>
            </w:pPr>
            <w:hyperlink w:anchor="page2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20" w:type="dxa"/>
            <w:vAlign w:val="bottom"/>
          </w:tcPr>
          <w:p>
            <w:pPr>
              <w:spacing w:after="0"/>
              <w:rPr>
                <w:sz w:val="24"/>
                <w:szCs w:val="24"/>
                <w:color w:val="auto"/>
              </w:rPr>
            </w:pPr>
          </w:p>
        </w:tc>
        <w:tc>
          <w:tcPr>
            <w:tcW w:w="7840" w:type="dxa"/>
            <w:vAlign w:val="bottom"/>
            <w:gridSpan w:val="5"/>
          </w:tcPr>
          <w:p>
            <w:pPr>
              <w:ind w:left="480"/>
              <w:spacing w:after="0"/>
              <w:rPr>
                <w:rFonts w:ascii="Arial" w:cs="Arial" w:eastAsia="Arial" w:hAnsi="Arial"/>
                <w:sz w:val="18"/>
                <w:szCs w:val="18"/>
                <w:color w:val="0000EE"/>
                <w:w w:val="97"/>
              </w:rPr>
            </w:pPr>
            <w:hyperlink w:anchor="page28">
              <w:r>
                <w:rPr>
                  <w:rFonts w:ascii="Arial" w:cs="Arial" w:eastAsia="Arial" w:hAnsi="Arial"/>
                  <w:sz w:val="18"/>
                  <w:szCs w:val="18"/>
                  <w:color w:val="0000EE"/>
                  <w:w w:val="97"/>
                </w:rPr>
                <w:t>Certification of Principal Financial Officer Required Under Rule 13a-14(a) and 15d-14(a) of the</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4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60" w:type="dxa"/>
            <w:vAlign w:val="bottom"/>
            <w:gridSpan w:val="6"/>
          </w:tcPr>
          <w:p>
            <w:pPr>
              <w:ind w:left="10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Securities Exchange Act of 1934, as amended.</w:t>
              </w:r>
            </w:hyperlink>
          </w:p>
        </w:tc>
      </w:tr>
      <w:tr>
        <w:trPr>
          <w:trHeight w:val="20"/>
        </w:trPr>
        <w:tc>
          <w:tcPr>
            <w:tcW w:w="23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412"/>
        </w:trPr>
        <w:tc>
          <w:tcPr>
            <w:tcW w:w="2300" w:type="dxa"/>
            <w:vAlign w:val="bottom"/>
            <w:gridSpan w:val="3"/>
          </w:tcPr>
          <w:p>
            <w:pPr>
              <w:ind w:left="500"/>
              <w:spacing w:after="0"/>
              <w:rPr>
                <w:rFonts w:ascii="Arial" w:cs="Arial" w:eastAsia="Arial" w:hAnsi="Arial"/>
                <w:sz w:val="18"/>
                <w:szCs w:val="18"/>
                <w:color w:val="0000EE"/>
              </w:rPr>
            </w:pPr>
            <w:hyperlink w:anchor="page2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20" w:type="dxa"/>
            <w:vAlign w:val="bottom"/>
          </w:tcPr>
          <w:p>
            <w:pPr>
              <w:spacing w:after="0"/>
              <w:rPr>
                <w:sz w:val="24"/>
                <w:szCs w:val="24"/>
                <w:color w:val="auto"/>
              </w:rPr>
            </w:pPr>
          </w:p>
        </w:tc>
        <w:tc>
          <w:tcPr>
            <w:tcW w:w="7840" w:type="dxa"/>
            <w:vAlign w:val="bottom"/>
            <w:gridSpan w:val="5"/>
          </w:tcPr>
          <w:p>
            <w:pPr>
              <w:ind w:left="480"/>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Certification of Principal Executive Officer and Principal Financial Officer Required Under Rule 13a-</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46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60" w:type="dxa"/>
            <w:vAlign w:val="bottom"/>
            <w:gridSpan w:val="6"/>
          </w:tcPr>
          <w:p>
            <w:pPr>
              <w:ind w:left="10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14(b) of the Securities Exchange Act of 1934, as amended, and 18 U.S.C. §1350.</w:t>
              </w:r>
            </w:hyperlink>
          </w:p>
        </w:tc>
      </w:tr>
      <w:tr>
        <w:trPr>
          <w:trHeight w:val="20"/>
        </w:trPr>
        <w:tc>
          <w:tcPr>
            <w:tcW w:w="8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gridSpan w:val="3"/>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438"/>
        </w:trPr>
        <w:tc>
          <w:tcPr>
            <w:tcW w:w="800" w:type="dxa"/>
            <w:vAlign w:val="bottom"/>
            <w:gridSpan w:val="2"/>
          </w:tcPr>
          <w:p>
            <w:pPr>
              <w:ind w:left="500"/>
              <w:spacing w:after="0"/>
              <w:rPr>
                <w:sz w:val="20"/>
                <w:szCs w:val="20"/>
                <w:color w:val="auto"/>
              </w:rPr>
            </w:pPr>
            <w:r>
              <w:rPr>
                <w:rFonts w:ascii="Arial" w:cs="Arial" w:eastAsia="Arial" w:hAnsi="Arial"/>
                <w:sz w:val="18"/>
                <w:szCs w:val="18"/>
                <w:color w:val="auto"/>
                <w:w w:val="93"/>
              </w:rPr>
              <w:t>101</w:t>
            </w: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40" w:type="dxa"/>
            <w:vAlign w:val="bottom"/>
            <w:gridSpan w:val="5"/>
          </w:tcPr>
          <w:p>
            <w:pPr>
              <w:ind w:left="480"/>
              <w:spacing w:after="0"/>
              <w:rPr>
                <w:sz w:val="20"/>
                <w:szCs w:val="20"/>
                <w:color w:val="auto"/>
              </w:rPr>
            </w:pPr>
            <w:r>
              <w:rPr>
                <w:rFonts w:ascii="Arial" w:cs="Arial" w:eastAsia="Arial" w:hAnsi="Arial"/>
                <w:sz w:val="18"/>
                <w:szCs w:val="18"/>
                <w:color w:val="auto"/>
                <w:w w:val="96"/>
              </w:rPr>
              <w:t>The following financial statements from the XBiotech Inc. Quarterly Report on Form 10-Q for the</w:t>
            </w: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60" w:type="dxa"/>
            <w:vAlign w:val="bottom"/>
            <w:gridSpan w:val="6"/>
          </w:tcPr>
          <w:p>
            <w:pPr>
              <w:ind w:left="1020"/>
              <w:spacing w:after="0"/>
              <w:rPr>
                <w:sz w:val="20"/>
                <w:szCs w:val="20"/>
                <w:color w:val="auto"/>
              </w:rPr>
            </w:pPr>
            <w:r>
              <w:rPr>
                <w:rFonts w:ascii="Arial" w:cs="Arial" w:eastAsia="Arial" w:hAnsi="Arial"/>
                <w:sz w:val="18"/>
                <w:szCs w:val="18"/>
                <w:color w:val="auto"/>
                <w:w w:val="97"/>
              </w:rPr>
              <w:t>quarter ended September 30, 2019, formatted in Extensive Business Reporting Language (XBRL): (i)</w:t>
            </w:r>
          </w:p>
        </w:tc>
      </w:tr>
    </w:tbl>
    <w:p>
      <w:pPr>
        <w:jc w:val="both"/>
        <w:ind w:left="3320" w:right="440"/>
        <w:spacing w:after="0" w:line="302" w:lineRule="auto"/>
        <w:rPr>
          <w:sz w:val="20"/>
          <w:szCs w:val="20"/>
          <w:color w:val="auto"/>
        </w:rPr>
      </w:pPr>
      <w:r>
        <w:rPr>
          <w:rFonts w:ascii="Arial" w:cs="Arial" w:eastAsia="Arial" w:hAnsi="Arial"/>
          <w:sz w:val="16"/>
          <w:szCs w:val="16"/>
          <w:color w:val="auto"/>
        </w:rPr>
        <w:t>consolidated balance sheets, (ii) consolidated statements of operations, (iii) consolidated statements of comprehensive loss, (iv) ) consolidated statements of changes in shareholders’ equity; (v) consolidated statements of cash flows and (vi) notes to consolidated financial statements (detail tagged).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Arial" w:cs="Arial" w:eastAsia="Arial" w:hAnsi="Arial"/>
                <w:sz w:val="18"/>
                <w:szCs w:val="18"/>
                <w:color w:val="auto"/>
              </w:rPr>
              <w:t>Date: November 12, 2019</w:t>
            </w:r>
          </w:p>
        </w:tc>
        <w:tc>
          <w:tcPr>
            <w:tcW w:w="2640" w:type="dxa"/>
            <w:vAlign w:val="bottom"/>
          </w:tcPr>
          <w:p>
            <w:pPr>
              <w:ind w:left="1220"/>
              <w:spacing w:after="0"/>
              <w:rPr>
                <w:sz w:val="20"/>
                <w:szCs w:val="20"/>
                <w:color w:val="auto"/>
              </w:rPr>
            </w:pPr>
            <w:r>
              <w:rPr>
                <w:rFonts w:ascii="Arial" w:cs="Arial" w:eastAsia="Arial" w:hAnsi="Arial"/>
                <w:sz w:val="18"/>
                <w:szCs w:val="18"/>
                <w:b w:val="1"/>
                <w:bCs w:val="1"/>
                <w:color w:val="auto"/>
              </w:rPr>
              <w:t>XBIOTECH INC.</w:t>
            </w:r>
          </w:p>
        </w:tc>
        <w:tc>
          <w:tcPr>
            <w:tcW w:w="5160" w:type="dxa"/>
            <w:vAlign w:val="bottom"/>
          </w:tcPr>
          <w:p>
            <w:pPr>
              <w:spacing w:after="0"/>
              <w:rPr>
                <w:sz w:val="20"/>
                <w:szCs w:val="20"/>
                <w:color w:val="auto"/>
              </w:rPr>
            </w:pPr>
          </w:p>
        </w:tc>
      </w:tr>
      <w:tr>
        <w:trPr>
          <w:trHeight w:val="864"/>
        </w:trPr>
        <w:tc>
          <w:tcPr>
            <w:tcW w:w="3120" w:type="dxa"/>
            <w:vAlign w:val="bottom"/>
          </w:tcPr>
          <w:p>
            <w:pPr>
              <w:spacing w:after="0"/>
              <w:rPr>
                <w:sz w:val="24"/>
                <w:szCs w:val="24"/>
                <w:color w:val="auto"/>
              </w:rPr>
            </w:pPr>
          </w:p>
        </w:tc>
        <w:tc>
          <w:tcPr>
            <w:tcW w:w="2640" w:type="dxa"/>
            <w:vAlign w:val="bottom"/>
          </w:tcPr>
          <w:p>
            <w:pPr>
              <w:ind w:left="16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John Simard</w:t>
            </w:r>
          </w:p>
        </w:tc>
      </w:tr>
      <w:tr>
        <w:trPr>
          <w:trHeight w:val="195"/>
        </w:trPr>
        <w:tc>
          <w:tcPr>
            <w:tcW w:w="3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60" w:type="dxa"/>
            <w:vAlign w:val="bottom"/>
          </w:tcPr>
          <w:p>
            <w:pPr>
              <w:ind w:left="480"/>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3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President, Chief Executive Officer and Director (</w:t>
            </w:r>
            <w:r>
              <w:rPr>
                <w:rFonts w:ascii="Arial" w:cs="Arial" w:eastAsia="Arial" w:hAnsi="Arial"/>
                <w:sz w:val="18"/>
                <w:szCs w:val="18"/>
                <w:i w:val="1"/>
                <w:iCs w:val="1"/>
                <w:color w:val="auto"/>
              </w:rPr>
              <w:t>Principal</w:t>
            </w:r>
          </w:p>
        </w:tc>
      </w:tr>
      <w:tr>
        <w:trPr>
          <w:trHeight w:val="230"/>
        </w:trPr>
        <w:tc>
          <w:tcPr>
            <w:tcW w:w="3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w:t>
            </w:r>
          </w:p>
        </w:tc>
      </w:tr>
      <w:tr>
        <w:trPr>
          <w:trHeight w:val="864"/>
        </w:trPr>
        <w:tc>
          <w:tcPr>
            <w:tcW w:w="3120" w:type="dxa"/>
            <w:vAlign w:val="bottom"/>
          </w:tcPr>
          <w:p>
            <w:pPr>
              <w:spacing w:after="0"/>
              <w:rPr>
                <w:sz w:val="20"/>
                <w:szCs w:val="20"/>
                <w:color w:val="auto"/>
              </w:rPr>
            </w:pPr>
            <w:r>
              <w:rPr>
                <w:rFonts w:ascii="Arial" w:cs="Arial" w:eastAsia="Arial" w:hAnsi="Arial"/>
                <w:sz w:val="18"/>
                <w:szCs w:val="18"/>
                <w:color w:val="auto"/>
              </w:rPr>
              <w:t>Date: November 12, 2019</w:t>
            </w:r>
          </w:p>
        </w:tc>
        <w:tc>
          <w:tcPr>
            <w:tcW w:w="2640" w:type="dxa"/>
            <w:vAlign w:val="bottom"/>
          </w:tcPr>
          <w:p>
            <w:pPr>
              <w:ind w:left="16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Queena Han</w:t>
            </w:r>
          </w:p>
        </w:tc>
      </w:tr>
      <w:tr>
        <w:trPr>
          <w:trHeight w:val="195"/>
        </w:trPr>
        <w:tc>
          <w:tcPr>
            <w:tcW w:w="3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60" w:type="dxa"/>
            <w:vAlign w:val="bottom"/>
          </w:tcPr>
          <w:p>
            <w:pPr>
              <w:ind w:left="480"/>
              <w:spacing w:after="0" w:line="195" w:lineRule="exact"/>
              <w:rPr>
                <w:sz w:val="20"/>
                <w:szCs w:val="20"/>
                <w:color w:val="auto"/>
              </w:rPr>
            </w:pPr>
            <w:r>
              <w:rPr>
                <w:rFonts w:ascii="Arial" w:cs="Arial" w:eastAsia="Arial" w:hAnsi="Arial"/>
                <w:sz w:val="18"/>
                <w:szCs w:val="18"/>
                <w:color w:val="auto"/>
              </w:rPr>
              <w:t>Queena Han</w:t>
            </w:r>
          </w:p>
        </w:tc>
      </w:tr>
      <w:tr>
        <w:trPr>
          <w:trHeight w:val="216"/>
        </w:trPr>
        <w:tc>
          <w:tcPr>
            <w:tcW w:w="3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w w:val="92"/>
              </w:rPr>
              <w:t>Vice President, Finance and Human Resources, and Secretary</w:t>
            </w:r>
          </w:p>
        </w:tc>
      </w:tr>
      <w:tr>
        <w:trPr>
          <w:trHeight w:val="230"/>
        </w:trPr>
        <w:tc>
          <w:tcPr>
            <w:tcW w:w="3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80" w:hanging="286"/>
        <w:spacing w:after="0" w:line="264"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1080" w:hanging="296"/>
        <w:spacing w:after="0" w:line="264"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1080" w:right="20" w:hanging="286"/>
        <w:spacing w:after="0" w:line="308" w:lineRule="auto"/>
        <w:tabs>
          <w:tab w:leader="none" w:pos="10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1080" w:hanging="296"/>
        <w:spacing w:after="0" w:line="264"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hanging="286"/>
        <w:spacing w:after="0" w:line="277"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1080" w:right="20" w:hanging="296"/>
        <w:spacing w:after="0" w:line="277"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u w:val="single" w:color="auto"/>
          <w:color w:val="auto"/>
        </w:rPr>
        <w:t>/S/ John Simard</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80" w:hanging="286"/>
        <w:spacing w:after="0" w:line="264"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1080" w:hanging="296"/>
        <w:spacing w:after="0" w:line="264"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1080" w:right="20" w:hanging="286"/>
        <w:spacing w:after="0" w:line="308" w:lineRule="auto"/>
        <w:tabs>
          <w:tab w:leader="none" w:pos="10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1080" w:hanging="296"/>
        <w:spacing w:after="0" w:line="264"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hanging="286"/>
        <w:spacing w:after="0" w:line="277"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1080" w:right="20" w:hanging="296"/>
        <w:spacing w:after="0" w:line="277"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21" w:lineRule="exact"/>
        <w:rPr>
          <w:sz w:val="20"/>
          <w:szCs w:val="20"/>
          <w:color w:val="auto"/>
        </w:rPr>
      </w:pPr>
    </w:p>
    <w:p>
      <w:pPr>
        <w:ind w:left="702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Vice President, Finance and Human Resources and Secretary</w:t>
      </w:r>
    </w:p>
    <w:p>
      <w:pPr>
        <w:spacing w:after="0" w:line="44"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September 30, 2019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7080"/>
        <w:spacing w:after="0"/>
        <w:rPr>
          <w:sz w:val="20"/>
          <w:szCs w:val="20"/>
          <w:color w:val="auto"/>
        </w:rPr>
      </w:pPr>
      <w:r>
        <w:rPr>
          <w:rFonts w:ascii="Arial" w:cs="Arial" w:eastAsia="Arial" w:hAnsi="Arial"/>
          <w:sz w:val="18"/>
          <w:szCs w:val="18"/>
          <w:b w:val="1"/>
          <w:bCs w:val="1"/>
          <w:u w:val="single" w:color="auto"/>
          <w:color w:val="auto"/>
        </w:rPr>
        <w:t>/S/ JOHN SIMARD</w:t>
      </w:r>
    </w:p>
    <w:p>
      <w:pPr>
        <w:spacing w:after="0" w:line="2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Date: November 12, 2019</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September 30, 2019,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702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Vice President, Finance and Human Resources and Secretary</w:t>
      </w:r>
    </w:p>
    <w:p>
      <w:pPr>
        <w:spacing w:after="0" w:line="44"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Date: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4"/>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2019-12-28T02:04:56Z</dcterms:created>
  <dcterms:modified xsi:type="dcterms:W3CDTF">2019-12-28T02:04:56Z</dcterms:modified>
</cp:coreProperties>
</file>