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72" w:lineRule="exact"/>
        <w:rPr>
          <w:sz w:val="24"/>
          <w:szCs w:val="24"/>
          <w:color w:val="auto"/>
        </w:rPr>
      </w:pPr>
    </w:p>
    <w:p>
      <w:pPr>
        <w:jc w:val="center"/>
        <w:ind w:left="4160" w:right="1740" w:hanging="2424"/>
        <w:spacing w:after="0" w:line="255" w:lineRule="auto"/>
        <w:tabs>
          <w:tab w:leader="none" w:pos="19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2720" w:hanging="174"/>
        <w:spacing w:after="0"/>
        <w:tabs>
          <w:tab w:leader="none" w:pos="2720"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Transaction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color w:val="auto"/>
        </w:rPr>
        <w:t>001-37437</w:t>
      </w:r>
    </w:p>
    <w:p>
      <w:pPr>
        <w:spacing w:after="0" w:line="2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2"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860" w:type="dxa"/>
            <w:vAlign w:val="bottom"/>
            <w:gridSpan w:val="2"/>
          </w:tcPr>
          <w:p>
            <w:pPr>
              <w:ind w:left="1940"/>
              <w:spacing w:after="0"/>
              <w:rPr>
                <w:sz w:val="20"/>
                <w:szCs w:val="20"/>
                <w:color w:val="auto"/>
              </w:rPr>
            </w:pPr>
            <w:r>
              <w:rPr>
                <w:rFonts w:ascii="Times New Roman" w:cs="Times New Roman" w:eastAsia="Times New Roman" w:hAnsi="Times New Roman"/>
                <w:sz w:val="16"/>
                <w:szCs w:val="16"/>
                <w:b w:val="1"/>
                <w:bCs w:val="1"/>
                <w:color w:val="auto"/>
              </w:rPr>
              <w:t>British Columbia, Canada</w:t>
            </w: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tcPr>
          <w:p>
            <w:pPr>
              <w:jc w:val="center"/>
              <w:ind w:right="2182"/>
              <w:spacing w:after="0"/>
              <w:rPr>
                <w:sz w:val="20"/>
                <w:szCs w:val="20"/>
                <w:color w:val="auto"/>
              </w:rPr>
            </w:pPr>
            <w:r>
              <w:rPr>
                <w:rFonts w:ascii="Times New Roman" w:cs="Times New Roman" w:eastAsia="Times New Roman" w:hAnsi="Times New Roman"/>
                <w:sz w:val="16"/>
                <w:szCs w:val="16"/>
                <w:b w:val="1"/>
                <w:bCs w:val="1"/>
                <w:color w:val="auto"/>
              </w:rPr>
              <w:t>N/A</w:t>
            </w:r>
          </w:p>
        </w:tc>
      </w:tr>
      <w:tr>
        <w:trPr>
          <w:trHeight w:val="203"/>
        </w:trPr>
        <w:tc>
          <w:tcPr>
            <w:tcW w:w="48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6400" w:type="dxa"/>
            <w:vAlign w:val="bottom"/>
            <w:gridSpan w:val="4"/>
          </w:tcPr>
          <w:p>
            <w:pPr>
              <w:jc w:val="center"/>
              <w:ind w:left="70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58"/>
        </w:trPr>
        <w:tc>
          <w:tcPr>
            <w:tcW w:w="3720" w:type="dxa"/>
            <w:vAlign w:val="bottom"/>
          </w:tcPr>
          <w:p>
            <w:pPr>
              <w:spacing w:after="0"/>
              <w:rPr>
                <w:sz w:val="24"/>
                <w:szCs w:val="24"/>
                <w:color w:val="auto"/>
              </w:rPr>
            </w:pPr>
          </w:p>
        </w:tc>
        <w:tc>
          <w:tcPr>
            <w:tcW w:w="37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5217 Winnebago Ln, Austin, TX 78744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720" w:type="dxa"/>
            <w:vAlign w:val="bottom"/>
          </w:tcPr>
          <w:p>
            <w:pPr>
              <w:spacing w:after="0"/>
              <w:rPr>
                <w:sz w:val="17"/>
                <w:szCs w:val="17"/>
                <w:color w:val="auto"/>
              </w:rPr>
            </w:pPr>
          </w:p>
        </w:tc>
        <w:tc>
          <w:tcPr>
            <w:tcW w:w="4160" w:type="dxa"/>
            <w:vAlign w:val="bottom"/>
            <w:gridSpan w:val="4"/>
          </w:tcPr>
          <w:p>
            <w:pPr>
              <w:jc w:val="center"/>
              <w:ind w:right="262"/>
              <w:spacing w:after="0"/>
              <w:rPr>
                <w:sz w:val="20"/>
                <w:szCs w:val="20"/>
                <w:color w:val="auto"/>
              </w:rPr>
            </w:pPr>
            <w:r>
              <w:rPr>
                <w:rFonts w:ascii="Times New Roman" w:cs="Times New Roman" w:eastAsia="Times New Roman" w:hAnsi="Times New Roman"/>
                <w:sz w:val="16"/>
                <w:szCs w:val="16"/>
                <w:color w:val="auto"/>
                <w:w w:val="97"/>
              </w:rPr>
              <w:t>(Address of principal executive offices, including zip code)</w:t>
            </w:r>
          </w:p>
        </w:tc>
        <w:tc>
          <w:tcPr>
            <w:tcW w:w="3380" w:type="dxa"/>
            <w:vAlign w:val="bottom"/>
          </w:tcPr>
          <w:p>
            <w:pPr>
              <w:spacing w:after="0"/>
              <w:rPr>
                <w:sz w:val="17"/>
                <w:szCs w:val="17"/>
                <w:color w:val="auto"/>
              </w:rPr>
            </w:pPr>
          </w:p>
        </w:tc>
      </w:tr>
      <w:tr>
        <w:trPr>
          <w:trHeight w:val="358"/>
        </w:trPr>
        <w:tc>
          <w:tcPr>
            <w:tcW w:w="3720" w:type="dxa"/>
            <w:vAlign w:val="bottom"/>
          </w:tcPr>
          <w:p>
            <w:pPr>
              <w:spacing w:after="0"/>
              <w:rPr>
                <w:sz w:val="24"/>
                <w:szCs w:val="24"/>
                <w:color w:val="auto"/>
              </w:rPr>
            </w:pPr>
          </w:p>
        </w:tc>
        <w:tc>
          <w:tcPr>
            <w:tcW w:w="3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6"/>
              </w:rPr>
              <w:t>Telephone Number (512) 386-2900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87"/>
        </w:trPr>
        <w:tc>
          <w:tcPr>
            <w:tcW w:w="3720" w:type="dxa"/>
            <w:vAlign w:val="bottom"/>
          </w:tcPr>
          <w:p>
            <w:pPr>
              <w:spacing w:after="0"/>
              <w:rPr>
                <w:sz w:val="16"/>
                <w:szCs w:val="16"/>
                <w:color w:val="auto"/>
              </w:rPr>
            </w:pPr>
          </w:p>
        </w:tc>
        <w:tc>
          <w:tcPr>
            <w:tcW w:w="3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7"/>
              </w:rPr>
              <w:t>(Registrant's telephone number, including area code)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3"/>
        </w:trPr>
        <w:tc>
          <w:tcPr>
            <w:tcW w:w="7440" w:type="dxa"/>
            <w:vAlign w:val="bottom"/>
            <w:gridSpan w:val="3"/>
          </w:tcPr>
          <w:p>
            <w:pPr>
              <w:jc w:val="center"/>
              <w:ind w:left="3722"/>
              <w:spacing w:after="0"/>
              <w:rPr>
                <w:sz w:val="20"/>
                <w:szCs w:val="20"/>
                <w:color w:val="auto"/>
              </w:rPr>
            </w:pPr>
            <w:r>
              <w:rPr>
                <w:rFonts w:ascii="Times New Roman" w:cs="Times New Roman" w:eastAsia="Times New Roman" w:hAnsi="Times New Roman"/>
                <w:sz w:val="16"/>
                <w:szCs w:val="16"/>
                <w:color w:val="auto"/>
                <w:w w:val="97"/>
              </w:rPr>
              <w:t>_____________________________________</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73"/>
        </w:trPr>
        <w:tc>
          <w:tcPr>
            <w:tcW w:w="3720" w:type="dxa"/>
            <w:vAlign w:val="bottom"/>
          </w:tcPr>
          <w:p>
            <w:pPr>
              <w:spacing w:after="0"/>
              <w:rPr>
                <w:sz w:val="24"/>
                <w:szCs w:val="24"/>
                <w:color w:val="auto"/>
              </w:rPr>
            </w:pPr>
          </w:p>
        </w:tc>
        <w:tc>
          <w:tcPr>
            <w:tcW w:w="4160" w:type="dxa"/>
            <w:vAlign w:val="bottom"/>
            <w:gridSpan w:val="4"/>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c>
          <w:tcPr>
            <w:tcW w:w="3380" w:type="dxa"/>
            <w:vAlign w:val="bottom"/>
          </w:tcPr>
          <w:p>
            <w:pPr>
              <w:spacing w:after="0"/>
              <w:rPr>
                <w:sz w:val="24"/>
                <w:szCs w:val="24"/>
                <w:color w:val="auto"/>
              </w:rPr>
            </w:pPr>
          </w:p>
        </w:tc>
      </w:tr>
      <w:tr>
        <w:trPr>
          <w:trHeight w:val="187"/>
        </w:trPr>
        <w:tc>
          <w:tcPr>
            <w:tcW w:w="3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r>
      <w:tr>
        <w:trPr>
          <w:trHeight w:val="178"/>
        </w:trPr>
        <w:tc>
          <w:tcPr>
            <w:tcW w:w="3720" w:type="dxa"/>
            <w:vAlign w:val="bottom"/>
            <w:tcBorders>
              <w:left w:val="single" w:sz="8" w:color="auto"/>
              <w:bottom w:val="single" w:sz="8" w:color="auto"/>
              <w:right w:val="single" w:sz="8" w:color="auto"/>
            </w:tcBorders>
          </w:tcPr>
          <w:p>
            <w:pPr>
              <w:ind w:left="1260"/>
              <w:spacing w:after="0" w:line="178" w:lineRule="exact"/>
              <w:rPr>
                <w:sz w:val="20"/>
                <w:szCs w:val="20"/>
                <w:color w:val="auto"/>
              </w:rPr>
            </w:pPr>
            <w:r>
              <w:rPr>
                <w:rFonts w:ascii="Times New Roman" w:cs="Times New Roman" w:eastAsia="Times New Roman" w:hAnsi="Times New Roman"/>
                <w:sz w:val="16"/>
                <w:szCs w:val="16"/>
                <w:color w:val="auto"/>
              </w:rPr>
              <w:t>Title of each classu</w:t>
            </w:r>
          </w:p>
        </w:tc>
        <w:tc>
          <w:tcPr>
            <w:tcW w:w="1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center"/>
              <w:ind w:right="962"/>
              <w:spacing w:after="0" w:line="178" w:lineRule="exact"/>
              <w:rPr>
                <w:sz w:val="20"/>
                <w:szCs w:val="20"/>
                <w:color w:val="auto"/>
              </w:rPr>
            </w:pPr>
            <w:r>
              <w:rPr>
                <w:rFonts w:ascii="Times New Roman" w:cs="Times New Roman" w:eastAsia="Times New Roman" w:hAnsi="Times New Roman"/>
                <w:sz w:val="16"/>
                <w:szCs w:val="16"/>
                <w:color w:val="auto"/>
                <w:w w:val="97"/>
              </w:rPr>
              <w:t>Trading Symbol(s)</w:t>
            </w:r>
          </w:p>
        </w:tc>
        <w:tc>
          <w:tcPr>
            <w:tcW w:w="1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262"/>
              <w:spacing w:after="0" w:line="178" w:lineRule="exact"/>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178"/>
        </w:trPr>
        <w:tc>
          <w:tcPr>
            <w:tcW w:w="3720" w:type="dxa"/>
            <w:vAlign w:val="bottom"/>
            <w:tcBorders>
              <w:left w:val="single" w:sz="8" w:color="auto"/>
              <w:bottom w:val="single" w:sz="8" w:color="auto"/>
              <w:right w:val="single" w:sz="8" w:color="auto"/>
            </w:tcBorders>
          </w:tcPr>
          <w:p>
            <w:pPr>
              <w:ind w:left="940"/>
              <w:spacing w:after="0" w:line="178" w:lineRule="exact"/>
              <w:rPr>
                <w:sz w:val="20"/>
                <w:szCs w:val="20"/>
                <w:color w:val="auto"/>
              </w:rPr>
            </w:pPr>
            <w:r>
              <w:rPr>
                <w:rFonts w:ascii="Times New Roman" w:cs="Times New Roman" w:eastAsia="Times New Roman" w:hAnsi="Times New Roman"/>
                <w:sz w:val="16"/>
                <w:szCs w:val="16"/>
                <w:color w:val="auto"/>
              </w:rPr>
              <w:t>Common Stock, no par value</w:t>
            </w:r>
          </w:p>
        </w:tc>
        <w:tc>
          <w:tcPr>
            <w:tcW w:w="1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center"/>
              <w:ind w:right="982"/>
              <w:spacing w:after="0" w:line="178" w:lineRule="exact"/>
              <w:rPr>
                <w:sz w:val="20"/>
                <w:szCs w:val="20"/>
                <w:color w:val="auto"/>
              </w:rPr>
            </w:pPr>
            <w:r>
              <w:rPr>
                <w:rFonts w:ascii="Times New Roman" w:cs="Times New Roman" w:eastAsia="Times New Roman" w:hAnsi="Times New Roman"/>
                <w:sz w:val="16"/>
                <w:szCs w:val="16"/>
                <w:color w:val="auto"/>
                <w:w w:val="96"/>
              </w:rPr>
              <w:t>XBIT</w:t>
            </w:r>
          </w:p>
        </w:tc>
        <w:tc>
          <w:tcPr>
            <w:tcW w:w="1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282"/>
              <w:spacing w:after="0" w:line="178" w:lineRule="exact"/>
              <w:rPr>
                <w:sz w:val="20"/>
                <w:szCs w:val="20"/>
                <w:color w:val="auto"/>
              </w:rPr>
            </w:pPr>
            <w:r>
              <w:rPr>
                <w:rFonts w:ascii="Times New Roman" w:cs="Times New Roman" w:eastAsia="Times New Roman" w:hAnsi="Times New Roman"/>
                <w:sz w:val="16"/>
                <w:szCs w:val="16"/>
                <w:color w:val="auto"/>
                <w:w w:val="97"/>
              </w:rPr>
              <w:t>NASDAQ Global Select Market</w:t>
            </w:r>
          </w:p>
        </w:tc>
      </w:tr>
      <w:tr>
        <w:trPr>
          <w:trHeight w:val="533"/>
        </w:trPr>
        <w:tc>
          <w:tcPr>
            <w:tcW w:w="3720" w:type="dxa"/>
            <w:vAlign w:val="bottom"/>
          </w:tcPr>
          <w:p>
            <w:pPr>
              <w:spacing w:after="0"/>
              <w:rPr>
                <w:sz w:val="24"/>
                <w:szCs w:val="24"/>
                <w:color w:val="auto"/>
              </w:rPr>
            </w:pPr>
          </w:p>
        </w:tc>
        <w:tc>
          <w:tcPr>
            <w:tcW w:w="4160" w:type="dxa"/>
            <w:vAlign w:val="bottom"/>
            <w:gridSpan w:val="4"/>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12(g) of the Act:</w:t>
            </w:r>
          </w:p>
        </w:tc>
        <w:tc>
          <w:tcPr>
            <w:tcW w:w="3380" w:type="dxa"/>
            <w:vAlign w:val="bottom"/>
          </w:tcPr>
          <w:p>
            <w:pPr>
              <w:spacing w:after="0"/>
              <w:rPr>
                <w:sz w:val="24"/>
                <w:szCs w:val="24"/>
                <w:color w:val="auto"/>
              </w:rPr>
            </w:pPr>
          </w:p>
        </w:tc>
      </w:tr>
      <w:tr>
        <w:trPr>
          <w:trHeight w:val="189"/>
        </w:trPr>
        <w:tc>
          <w:tcPr>
            <w:tcW w:w="3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80" w:type="dxa"/>
            <w:vAlign w:val="bottom"/>
          </w:tcPr>
          <w:p>
            <w:pPr>
              <w:jc w:val="center"/>
              <w:ind w:right="962"/>
              <w:spacing w:after="0"/>
              <w:rPr>
                <w:sz w:val="20"/>
                <w:szCs w:val="20"/>
                <w:color w:val="auto"/>
              </w:rPr>
            </w:pPr>
            <w:r>
              <w:rPr>
                <w:rFonts w:ascii="Times New Roman" w:cs="Times New Roman" w:eastAsia="Times New Roman" w:hAnsi="Times New Roman"/>
                <w:sz w:val="16"/>
                <w:szCs w:val="16"/>
                <w:b w:val="1"/>
                <w:bCs w:val="1"/>
                <w:color w:val="auto"/>
                <w:w w:val="95"/>
              </w:rPr>
              <w:t>None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3"/>
        </w:trPr>
        <w:tc>
          <w:tcPr>
            <w:tcW w:w="7440" w:type="dxa"/>
            <w:vAlign w:val="bottom"/>
            <w:gridSpan w:val="3"/>
          </w:tcPr>
          <w:p>
            <w:pPr>
              <w:jc w:val="center"/>
              <w:ind w:left="3722"/>
              <w:spacing w:after="0"/>
              <w:rPr>
                <w:sz w:val="20"/>
                <w:szCs w:val="20"/>
                <w:color w:val="auto"/>
              </w:rPr>
            </w:pPr>
            <w:r>
              <w:rPr>
                <w:rFonts w:ascii="Times New Roman" w:cs="Times New Roman" w:eastAsia="Times New Roman" w:hAnsi="Times New Roman"/>
                <w:sz w:val="16"/>
                <w:szCs w:val="16"/>
                <w:color w:val="auto"/>
                <w:w w:val="97"/>
              </w:rPr>
              <w:t>_____________________________________</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97"/>
        </w:trPr>
        <w:tc>
          <w:tcPr>
            <w:tcW w:w="74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Indicate by check mark if the registrant is a well-known seasoned issuer, as defined in Rule 405 of the Securities Act.</w:t>
            </w:r>
          </w:p>
        </w:tc>
        <w:tc>
          <w:tcPr>
            <w:tcW w:w="4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w w:val="93"/>
              </w:rPr>
              <w:t xml:space="preserve">Yes </w:t>
            </w:r>
            <w:r>
              <w:rPr>
                <w:rFonts w:ascii="MS PGothic" w:cs="MS PGothic" w:eastAsia="MS PGothic" w:hAnsi="MS PGothic"/>
                <w:sz w:val="16"/>
                <w:szCs w:val="16"/>
                <w:color w:val="auto"/>
                <w:w w:val="93"/>
              </w:rPr>
              <w:t>☐</w:t>
            </w:r>
          </w:p>
        </w:tc>
        <w:tc>
          <w:tcPr>
            <w:tcW w:w="3380" w:type="dxa"/>
            <w:vAlign w:val="bottom"/>
          </w:tcPr>
          <w:p>
            <w:pPr>
              <w:jc w:val="center"/>
              <w:ind w:right="2562"/>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373"/>
        </w:trPr>
        <w:tc>
          <w:tcPr>
            <w:tcW w:w="74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6"/>
              </w:rPr>
              <w:t>Indicate by check mark if the registrant is not required to file reports pursuant to Section 13 or Section 15(d) of the Act.</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w:t>
            </w:r>
          </w:p>
        </w:tc>
        <w:tc>
          <w:tcPr>
            <w:tcW w:w="3380" w:type="dxa"/>
            <w:vAlign w:val="bottom"/>
          </w:tcPr>
          <w:p>
            <w:pPr>
              <w:jc w:val="center"/>
              <w:ind w:right="2582"/>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147"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7" w:lineRule="exact"/>
        <w:rPr>
          <w:sz w:val="24"/>
          <w:szCs w:val="24"/>
          <w:color w:val="auto"/>
        </w:rPr>
      </w:pPr>
    </w:p>
    <w:p>
      <w:pPr>
        <w:ind w:right="14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ectPr>
          <w:pgSz w:w="11900" w:h="16838" w:orient="portrait"/>
          <w:cols w:equalWidth="0" w:num="1">
            <w:col w:w="11260"/>
          </w:cols>
          <w:pgMar w:left="320" w:top="798" w:right="319" w:bottom="1440" w:gutter="0" w:footer="0" w:header="0"/>
        </w:sectPr>
      </w:pPr>
    </w:p>
    <w:p>
      <w:pPr>
        <w:spacing w:after="0" w:line="14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6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7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4"/>
          <w:szCs w:val="24"/>
          <w:color w:val="auto"/>
        </w:rPr>
      </w:pPr>
    </w:p>
    <w:p>
      <w:pPr>
        <w:sectPr>
          <w:pgSz w:w="11900" w:h="16838" w:orient="portrait"/>
          <w:cols w:equalWidth="0" w:num="4">
            <w:col w:w="2200" w:space="720"/>
            <w:col w:w="1840" w:space="720"/>
            <w:col w:w="1920" w:space="720"/>
            <w:col w:w="3140"/>
          </w:cols>
          <w:pgMar w:left="320" w:top="798" w:right="319" w:bottom="1440" w:gutter="0" w:footer="0" w:header="0"/>
          <w:type w:val="continuous"/>
        </w:sectPr>
      </w:pPr>
    </w:p>
    <w:p>
      <w:pPr>
        <w:ind w:right="46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type w:val="continuous"/>
        </w:sectPr>
      </w:pPr>
    </w:p>
    <w:bookmarkStart w:id="1" w:name="page2"/>
    <w:bookmarkEnd w:id="1"/>
    <w:p>
      <w:pPr>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48" w:lineRule="exact"/>
        <w:rPr>
          <w:sz w:val="20"/>
          <w:szCs w:val="20"/>
          <w:color w:val="auto"/>
        </w:rPr>
      </w:pPr>
    </w:p>
    <w:p>
      <w:pPr>
        <w:ind w:right="6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4" w:lineRule="exact"/>
        <w:rPr>
          <w:sz w:val="20"/>
          <w:szCs w:val="20"/>
          <w:color w:val="auto"/>
        </w:rPr>
      </w:pPr>
    </w:p>
    <w:p>
      <w:pPr>
        <w:spacing w:after="0" w:line="184" w:lineRule="exact"/>
        <w:tabs>
          <w:tab w:leader="none" w:pos="6540" w:val="left"/>
          <w:tab w:leader="none" w:pos="71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2025, was approximately $77,050,226, based upon the closing sales price for the registrant’s common stock, as reported on the NASDAQ Global Market. The calculation of the aggregate market value of voting and non-voting common equity excludes 4,544,894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13, 2026, 30,487,731 shares of the registrant’s Common Stock were outstanding.</w:t>
      </w:r>
    </w:p>
    <w:p>
      <w:pPr>
        <w:spacing w:after="0" w:line="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Certain portions, as expressly described in this Annual Report on Form 10-K, of the registrant’s Proxy Statement for the 2026 Annual Meeting of the Stockholders, to be filed not later than 120 days after the end of the year covered by this Annual Report, are incorporated by reference into Part III of this Annual Report where indicated.</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52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8"/>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gridSpan w:val="20"/>
          </w:tcPr>
          <w:p>
            <w:pPr>
              <w:jc w:val="center"/>
              <w:ind w:right="298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b w:val="1"/>
                <w:bCs w:val="1"/>
                <w:color w:val="0000EE"/>
                <w:w w:val="96"/>
              </w:rPr>
              <w:t>PART I</w:t>
            </w:r>
          </w:p>
        </w:tc>
        <w:tc>
          <w:tcPr>
            <w:tcW w:w="486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0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8"/>
              </w:rPr>
              <w:t>ITEM 1. BUSINESS</w:t>
            </w:r>
          </w:p>
        </w:tc>
        <w:tc>
          <w:tcPr>
            <w:tcW w:w="9160" w:type="dxa"/>
            <w:vAlign w:val="bottom"/>
            <w:gridSpan w:val="31"/>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gridSpan w:val="2"/>
          </w:tcPr>
          <w:p>
            <w:pPr>
              <w:jc w:val="center"/>
              <w:ind w:right="40"/>
              <w:spacing w:after="0" w:line="167" w:lineRule="exact"/>
              <w:rPr>
                <w:sz w:val="20"/>
                <w:szCs w:val="20"/>
                <w:color w:val="auto"/>
              </w:rPr>
            </w:pPr>
            <w:r>
              <w:rPr>
                <w:rFonts w:ascii="Times New Roman" w:cs="Times New Roman" w:eastAsia="Times New Roman" w:hAnsi="Times New Roman"/>
                <w:sz w:val="16"/>
                <w:szCs w:val="16"/>
                <w:color w:val="0000EE"/>
                <w:w w:val="99"/>
              </w:rPr>
              <w:t>6</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1A. RISK FACTORS</w:t>
            </w:r>
          </w:p>
        </w:tc>
        <w:tc>
          <w:tcPr>
            <w:tcW w:w="580" w:type="dxa"/>
            <w:vAlign w:val="bottom"/>
            <w:gridSpan w:val="3"/>
          </w:tcPr>
          <w:p>
            <w:pPr>
              <w:jc w:val="center"/>
              <w:ind w:left="342"/>
              <w:spacing w:after="0" w:line="167" w:lineRule="exact"/>
              <w:rPr>
                <w:sz w:val="20"/>
                <w:szCs w:val="20"/>
                <w:color w:val="auto"/>
              </w:rPr>
            </w:pPr>
            <w:r>
              <w:rPr>
                <w:rFonts w:ascii="Times New Roman" w:cs="Times New Roman" w:eastAsia="Times New Roman" w:hAnsi="Times New Roman"/>
                <w:sz w:val="16"/>
                <w:szCs w:val="16"/>
                <w:color w:val="0000EE"/>
                <w:w w:val="99"/>
              </w:rPr>
              <w:t>9</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1B. UNRESOLVED STAFF COMMENTS</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32</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00" w:type="dxa"/>
            <w:vAlign w:val="bottom"/>
            <w:gridSpan w:val="1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1C. CYBERSECURITY</w:t>
            </w:r>
          </w:p>
        </w:tc>
        <w:tc>
          <w:tcPr>
            <w:tcW w:w="7260" w:type="dxa"/>
            <w:vAlign w:val="bottom"/>
            <w:gridSpan w:val="20"/>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32</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100" w:type="dxa"/>
            <w:vAlign w:val="bottom"/>
            <w:gridSpan w:val="7"/>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2. PROPERTIES</w:t>
            </w:r>
          </w:p>
        </w:tc>
        <w:tc>
          <w:tcPr>
            <w:tcW w:w="8460" w:type="dxa"/>
            <w:vAlign w:val="bottom"/>
            <w:gridSpan w:val="27"/>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33</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3.  LEGAL PROCEEDINGS</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33</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4. MINE SAFETY DISCLOSURES</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33</w:t>
            </w:r>
          </w:p>
        </w:tc>
        <w:tc>
          <w:tcPr>
            <w:tcW w:w="0" w:type="dxa"/>
            <w:vAlign w:val="bottom"/>
          </w:tcPr>
          <w:p>
            <w:pPr>
              <w:spacing w:after="0"/>
              <w:rPr>
                <w:sz w:val="1"/>
                <w:szCs w:val="1"/>
                <w:color w:val="auto"/>
              </w:rPr>
            </w:pPr>
          </w:p>
        </w:tc>
      </w:tr>
      <w:tr>
        <w:trPr>
          <w:trHeight w:val="353"/>
        </w:trPr>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4"/>
          </w:tcPr>
          <w:p>
            <w:pPr>
              <w:jc w:val="center"/>
              <w:ind w:right="4840"/>
              <w:spacing w:after="0"/>
              <w:rPr>
                <w:sz w:val="20"/>
                <w:szCs w:val="20"/>
                <w:color w:val="auto"/>
              </w:rPr>
            </w:pPr>
            <w:r>
              <w:rPr>
                <w:rFonts w:ascii="Times New Roman" w:cs="Times New Roman" w:eastAsia="Times New Roman" w:hAnsi="Times New Roman"/>
                <w:sz w:val="16"/>
                <w:szCs w:val="16"/>
                <w:b w:val="1"/>
                <w:bCs w:val="1"/>
                <w:color w:val="0000EE"/>
                <w:w w:val="93"/>
              </w:rPr>
              <w:t>PART II</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5.  MARKET FOR REGISTRANT</w:t>
            </w:r>
            <w:r>
              <w:rPr>
                <w:rFonts w:ascii="Times New Roman" w:cs="Times New Roman" w:eastAsia="Times New Roman" w:hAnsi="Times New Roman"/>
                <w:sz w:val="16"/>
                <w:szCs w:val="16"/>
                <w:color w:val="0000EE"/>
              </w:rPr>
              <w:t>’</w:t>
            </w:r>
            <w:r>
              <w:rPr>
                <w:rFonts w:ascii="Times New Roman" w:cs="Times New Roman" w:eastAsia="Times New Roman" w:hAnsi="Times New Roman"/>
                <w:sz w:val="16"/>
                <w:szCs w:val="16"/>
                <w:b w:val="1"/>
                <w:bCs w:val="1"/>
                <w:color w:val="0000EE"/>
              </w:rPr>
              <w:t>S COMMON EQUITY, RELATED STOCKHOLDER MATTERS AND ISSUER PURCHASES OF EQUITY</w:t>
            </w:r>
          </w:p>
        </w:tc>
        <w:tc>
          <w:tcPr>
            <w:tcW w:w="580" w:type="dxa"/>
            <w:vAlign w:val="bottom"/>
            <w:gridSpan w:val="3"/>
            <w:vMerge w:val="restart"/>
          </w:tcPr>
          <w:p>
            <w:pPr>
              <w:jc w:val="center"/>
              <w:ind w:left="362"/>
              <w:spacing w:after="0"/>
              <w:rPr>
                <w:sz w:val="20"/>
                <w:szCs w:val="20"/>
                <w:color w:val="auto"/>
              </w:rPr>
            </w:pPr>
            <w:r>
              <w:rPr>
                <w:rFonts w:ascii="Times New Roman" w:cs="Times New Roman" w:eastAsia="Times New Roman" w:hAnsi="Times New Roman"/>
                <w:sz w:val="16"/>
                <w:szCs w:val="16"/>
                <w:color w:val="0000EE"/>
                <w:w w:val="87"/>
              </w:rPr>
              <w:t>34</w:t>
            </w:r>
          </w:p>
        </w:tc>
        <w:tc>
          <w:tcPr>
            <w:tcW w:w="0" w:type="dxa"/>
            <w:vAlign w:val="bottom"/>
          </w:tcPr>
          <w:p>
            <w:pPr>
              <w:spacing w:after="0"/>
              <w:rPr>
                <w:sz w:val="1"/>
                <w:szCs w:val="1"/>
                <w:color w:val="auto"/>
              </w:rPr>
            </w:pPr>
          </w:p>
        </w:tc>
      </w:tr>
      <w:tr>
        <w:trPr>
          <w:trHeight w:val="73"/>
        </w:trPr>
        <w:tc>
          <w:tcPr>
            <w:tcW w:w="940" w:type="dxa"/>
            <w:vAlign w:val="bottom"/>
            <w:tcBorders>
              <w:top w:val="single" w:sz="8" w:color="0000EE"/>
            </w:tcBorders>
            <w:gridSpan w:val="2"/>
            <w:vMerge w:val="restart"/>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4"/>
              </w:rPr>
              <w:t>SECURITIES</w:t>
            </w:r>
          </w:p>
        </w:tc>
        <w:tc>
          <w:tcPr>
            <w:tcW w:w="9180" w:type="dxa"/>
            <w:vAlign w:val="bottom"/>
            <w:tcBorders>
              <w:top w:val="single" w:sz="8" w:color="0000EE"/>
            </w:tcBorders>
            <w:gridSpan w:val="31"/>
            <w:vMerge w:val="restart"/>
          </w:tcPr>
          <w:p>
            <w:pPr>
              <w:spacing w:after="0"/>
              <w:rPr>
                <w:sz w:val="6"/>
                <w:szCs w:val="6"/>
                <w:color w:val="auto"/>
              </w:rPr>
            </w:pPr>
          </w:p>
        </w:tc>
        <w:tc>
          <w:tcPr>
            <w:tcW w:w="440" w:type="dxa"/>
            <w:vAlign w:val="bottom"/>
            <w:vMerge w:val="restart"/>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40" w:type="dxa"/>
            <w:vAlign w:val="bottom"/>
            <w:tcBorders>
              <w:top w:val="single" w:sz="8" w:color="0000EE"/>
              <w:bottom w:val="single" w:sz="8" w:color="0000EE"/>
            </w:tcBorders>
            <w:gridSpan w:val="2"/>
            <w:vMerge w:val="continue"/>
          </w:tcPr>
          <w:p>
            <w:pPr>
              <w:spacing w:after="0"/>
              <w:rPr>
                <w:sz w:val="6"/>
                <w:szCs w:val="6"/>
                <w:color w:val="auto"/>
              </w:rPr>
            </w:pPr>
          </w:p>
        </w:tc>
        <w:tc>
          <w:tcPr>
            <w:tcW w:w="9180" w:type="dxa"/>
            <w:vAlign w:val="bottom"/>
            <w:tcBorders>
              <w:top w:val="single" w:sz="8" w:color="0000EE"/>
            </w:tcBorders>
            <w:gridSpan w:val="31"/>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6.  RESERVED</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34</w:t>
            </w:r>
          </w:p>
        </w:tc>
        <w:tc>
          <w:tcPr>
            <w:tcW w:w="0" w:type="dxa"/>
            <w:vAlign w:val="bottom"/>
          </w:tcPr>
          <w:p>
            <w:pPr>
              <w:spacing w:after="0"/>
              <w:rPr>
                <w:sz w:val="1"/>
                <w:szCs w:val="1"/>
                <w:color w:val="auto"/>
              </w:rPr>
            </w:pPr>
          </w:p>
        </w:tc>
      </w:tr>
      <w:tr>
        <w:trPr>
          <w:trHeight w:val="20"/>
        </w:trPr>
        <w:tc>
          <w:tcPr>
            <w:tcW w:w="1520" w:type="dxa"/>
            <w:vAlign w:val="bottom"/>
            <w:gridSpan w:val="4"/>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720" w:type="dxa"/>
            <w:vAlign w:val="bottom"/>
            <w:gridSpan w:val="30"/>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7"/>
              </w:rPr>
              <w:t>ITEM 7. MANAGEMENT</w:t>
            </w:r>
            <w:r>
              <w:rPr>
                <w:rFonts w:ascii="Times New Roman" w:cs="Times New Roman" w:eastAsia="Times New Roman" w:hAnsi="Times New Roman"/>
                <w:sz w:val="16"/>
                <w:szCs w:val="16"/>
                <w:color w:val="0000EE"/>
                <w:w w:val="97"/>
              </w:rPr>
              <w:t>’</w:t>
            </w:r>
            <w:r>
              <w:rPr>
                <w:rFonts w:ascii="Times New Roman" w:cs="Times New Roman" w:eastAsia="Times New Roman" w:hAnsi="Times New Roman"/>
                <w:sz w:val="16"/>
                <w:szCs w:val="16"/>
                <w:b w:val="1"/>
                <w:bCs w:val="1"/>
                <w:color w:val="0000EE"/>
                <w:w w:val="97"/>
              </w:rPr>
              <w:t>S DISCUSSION AND ANALYSIS OF FINANCIAL CONDITION AND RESULTS OF OPERATIONS</w:t>
            </w:r>
          </w:p>
        </w:tc>
        <w:tc>
          <w:tcPr>
            <w:tcW w:w="1840" w:type="dxa"/>
            <w:vAlign w:val="bottom"/>
            <w:gridSpan w:val="4"/>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34</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60" w:type="dxa"/>
            <w:vAlign w:val="bottom"/>
            <w:gridSpan w:val="27"/>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6"/>
              </w:rPr>
              <w:t>ITEM 7A.  QUANTITATIVE AND QUALITATIVE DISCLOSURES ABOUT MARKET RISKS</w:t>
            </w:r>
          </w:p>
        </w:tc>
        <w:tc>
          <w:tcPr>
            <w:tcW w:w="2260" w:type="dxa"/>
            <w:vAlign w:val="bottom"/>
            <w:gridSpan w:val="3"/>
          </w:tcPr>
          <w:p>
            <w:pPr>
              <w:spacing w:after="0"/>
              <w:rPr>
                <w:sz w:val="14"/>
                <w:szCs w:val="14"/>
                <w:color w:val="auto"/>
              </w:rPr>
            </w:pPr>
          </w:p>
        </w:tc>
        <w:tc>
          <w:tcPr>
            <w:tcW w:w="1840" w:type="dxa"/>
            <w:vAlign w:val="bottom"/>
            <w:gridSpan w:val="4"/>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41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8.</w:t>
            </w:r>
          </w:p>
        </w:tc>
        <w:tc>
          <w:tcPr>
            <w:tcW w:w="4220" w:type="dxa"/>
            <w:vAlign w:val="bottom"/>
            <w:gridSpan w:val="16"/>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5"/>
              </w:rPr>
              <w:t>FINANCIAL STATEMENTS AND SUPPLEMENTARY DATA</w:t>
            </w:r>
          </w:p>
        </w:tc>
        <w:tc>
          <w:tcPr>
            <w:tcW w:w="1520" w:type="dxa"/>
            <w:vAlign w:val="bottom"/>
            <w:gridSpan w:val="10"/>
          </w:tcPr>
          <w:p>
            <w:pPr>
              <w:spacing w:after="0"/>
              <w:rPr>
                <w:sz w:val="14"/>
                <w:szCs w:val="14"/>
                <w:color w:val="auto"/>
              </w:rPr>
            </w:pPr>
          </w:p>
        </w:tc>
        <w:tc>
          <w:tcPr>
            <w:tcW w:w="4100" w:type="dxa"/>
            <w:vAlign w:val="bottom"/>
            <w:gridSpan w:val="7"/>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42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9.</w:t>
            </w:r>
          </w:p>
        </w:tc>
        <w:tc>
          <w:tcPr>
            <w:tcW w:w="9840" w:type="dxa"/>
            <w:vAlign w:val="bottom"/>
            <w:gridSpan w:val="33"/>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CHANGES IN AND DISAGREEMENTS WITH ACCOUNTANTS ON ACCOUNTING AND FINANCIAL DISCLOSURE</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58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9"/>
              </w:rPr>
              <w:t>ITEM 9A.</w:t>
            </w:r>
          </w:p>
        </w:tc>
        <w:tc>
          <w:tcPr>
            <w:tcW w:w="8200" w:type="dxa"/>
            <w:vAlign w:val="bottom"/>
            <w:gridSpan w:val="30"/>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0000EE"/>
              </w:rPr>
              <w:t>CONTROLS AND PROCEDURES.</w:t>
            </w:r>
          </w:p>
        </w:tc>
        <w:tc>
          <w:tcPr>
            <w:tcW w:w="1640" w:type="dxa"/>
            <w:vAlign w:val="bottom"/>
            <w:gridSpan w:val="3"/>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58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9B.</w:t>
            </w:r>
          </w:p>
        </w:tc>
        <w:tc>
          <w:tcPr>
            <w:tcW w:w="2500" w:type="dxa"/>
            <w:vAlign w:val="bottom"/>
            <w:gridSpan w:val="12"/>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0000EE"/>
              </w:rPr>
              <w:t>OTHER INFORMATION</w:t>
            </w:r>
          </w:p>
        </w:tc>
        <w:tc>
          <w:tcPr>
            <w:tcW w:w="7340" w:type="dxa"/>
            <w:vAlign w:val="bottom"/>
            <w:gridSpan w:val="21"/>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59</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9"/>
              </w:rPr>
              <w:t>ITEM 9C.</w:t>
            </w:r>
          </w:p>
        </w:tc>
        <w:tc>
          <w:tcPr>
            <w:tcW w:w="6500" w:type="dxa"/>
            <w:vAlign w:val="bottom"/>
            <w:gridSpan w:val="27"/>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0000EE"/>
                <w:w w:val="96"/>
              </w:rPr>
              <w:t>DISCLOSURE REGARDING FOREIGN JURISDICTIONS THAT PREVENT INSPECTIONS</w:t>
            </w:r>
          </w:p>
        </w:tc>
        <w:tc>
          <w:tcPr>
            <w:tcW w:w="3340" w:type="dxa"/>
            <w:vAlign w:val="bottom"/>
            <w:gridSpan w:val="6"/>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59</w:t>
            </w:r>
          </w:p>
        </w:tc>
        <w:tc>
          <w:tcPr>
            <w:tcW w:w="0" w:type="dxa"/>
            <w:vAlign w:val="bottom"/>
          </w:tcPr>
          <w:p>
            <w:pPr>
              <w:spacing w:after="0"/>
              <w:rPr>
                <w:sz w:val="1"/>
                <w:szCs w:val="1"/>
                <w:color w:val="auto"/>
              </w:rPr>
            </w:pPr>
          </w:p>
        </w:tc>
      </w:tr>
      <w:tr>
        <w:trPr>
          <w:trHeight w:val="353"/>
        </w:trPr>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0000EE"/>
                <w:w w:val="96"/>
              </w:rPr>
              <w:t>PART III</w:t>
            </w:r>
          </w:p>
        </w:tc>
        <w:tc>
          <w:tcPr>
            <w:tcW w:w="1460" w:type="dxa"/>
            <w:vAlign w:val="bottom"/>
            <w:tcBorders>
              <w:top w:val="single" w:sz="8" w:color="0000EE"/>
            </w:tcBorders>
            <w:gridSpan w:val="3"/>
          </w:tcPr>
          <w:p>
            <w:pPr>
              <w:spacing w:after="0"/>
              <w:rPr>
                <w:sz w:val="24"/>
                <w:szCs w:val="24"/>
                <w:color w:val="auto"/>
              </w:rPr>
            </w:pPr>
          </w:p>
        </w:tc>
        <w:tc>
          <w:tcPr>
            <w:tcW w:w="33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560" w:type="dxa"/>
            <w:vAlign w:val="bottom"/>
            <w:gridSpan w:val="34"/>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10.  DIRECTORS, EXECUTIVE OFFICERS AND CORPORATE GOVERNANCE</w:t>
            </w: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60</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11.</w:t>
            </w:r>
          </w:p>
        </w:tc>
        <w:tc>
          <w:tcPr>
            <w:tcW w:w="5340" w:type="dxa"/>
            <w:vAlign w:val="bottom"/>
            <w:gridSpan w:val="25"/>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0000EE"/>
              </w:rPr>
              <w:t>EXECUTIVE COMPENSATION</w:t>
            </w:r>
          </w:p>
        </w:tc>
        <w:tc>
          <w:tcPr>
            <w:tcW w:w="4500" w:type="dxa"/>
            <w:vAlign w:val="bottom"/>
            <w:gridSpan w:val="8"/>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60</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100" w:type="dxa"/>
            <w:vAlign w:val="bottom"/>
            <w:gridSpan w:val="32"/>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6"/>
              </w:rPr>
              <w:t>ITEM 12.  SECURITY OWNERSHIP OF CERTAIN BENEFICIAL OWNERS AND MANAGEMENT AND RELATED STOCKHOLDER MATTERS</w:t>
            </w:r>
          </w:p>
        </w:tc>
        <w:tc>
          <w:tcPr>
            <w:tcW w:w="460" w:type="dxa"/>
            <w:vAlign w:val="bottom"/>
            <w:gridSpan w:val="2"/>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60</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100" w:type="dxa"/>
            <w:vAlign w:val="bottom"/>
            <w:gridSpan w:val="32"/>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13.  CERTAIN RELATIONSHIPS AND RELATED TRANSACTIONS AND DIRECTOR INDEPENDENCE</w:t>
            </w:r>
          </w:p>
        </w:tc>
        <w:tc>
          <w:tcPr>
            <w:tcW w:w="460" w:type="dxa"/>
            <w:vAlign w:val="bottom"/>
            <w:gridSpan w:val="2"/>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60</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20" w:type="dxa"/>
            <w:vAlign w:val="bottom"/>
            <w:gridSpan w:val="29"/>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14.  PRINCIPAL ACCOUNTANT FEES AND SERVICES</w:t>
            </w:r>
          </w:p>
        </w:tc>
        <w:tc>
          <w:tcPr>
            <w:tcW w:w="2840" w:type="dxa"/>
            <w:vAlign w:val="bottom"/>
            <w:gridSpan w:val="5"/>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60</w:t>
            </w:r>
          </w:p>
        </w:tc>
        <w:tc>
          <w:tcPr>
            <w:tcW w:w="0" w:type="dxa"/>
            <w:vAlign w:val="bottom"/>
          </w:tcPr>
          <w:p>
            <w:pPr>
              <w:spacing w:after="0"/>
              <w:rPr>
                <w:sz w:val="1"/>
                <w:szCs w:val="1"/>
                <w:color w:val="auto"/>
              </w:rPr>
            </w:pPr>
          </w:p>
        </w:tc>
      </w:tr>
      <w:tr>
        <w:trPr>
          <w:trHeight w:val="353"/>
        </w:trPr>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gridSpan w:val="16"/>
          </w:tcPr>
          <w:p>
            <w:pPr>
              <w:jc w:val="center"/>
              <w:ind w:right="4820"/>
              <w:spacing w:after="0"/>
              <w:rPr>
                <w:sz w:val="20"/>
                <w:szCs w:val="20"/>
                <w:color w:val="auto"/>
              </w:rPr>
            </w:pPr>
            <w:r>
              <w:rPr>
                <w:rFonts w:ascii="Times New Roman" w:cs="Times New Roman" w:eastAsia="Times New Roman" w:hAnsi="Times New Roman"/>
                <w:sz w:val="16"/>
                <w:szCs w:val="16"/>
                <w:b w:val="1"/>
                <w:bCs w:val="1"/>
                <w:color w:val="0000EE"/>
                <w:w w:val="94"/>
              </w:rPr>
              <w:t>PART IV</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780" w:type="dxa"/>
            <w:vAlign w:val="bottom"/>
            <w:gridSpan w:val="16"/>
          </w:tcPr>
          <w:p>
            <w:pPr>
              <w:spacing w:after="0" w:line="167" w:lineRule="exact"/>
              <w:rPr>
                <w:sz w:val="20"/>
                <w:szCs w:val="20"/>
                <w:color w:val="auto"/>
              </w:rPr>
            </w:pPr>
            <w:r>
              <w:rPr>
                <w:rFonts w:ascii="Times New Roman" w:cs="Times New Roman" w:eastAsia="Times New Roman" w:hAnsi="Times New Roman"/>
                <w:sz w:val="16"/>
                <w:szCs w:val="16"/>
                <w:b w:val="1"/>
                <w:bCs w:val="1"/>
                <w:color w:val="0000EE"/>
                <w:w w:val="96"/>
              </w:rPr>
              <w:t>ITEM 15.  EXHIBITS AND FINANCIAL STATEMENT SCHEDULES</w:t>
            </w:r>
          </w:p>
        </w:tc>
        <w:tc>
          <w:tcPr>
            <w:tcW w:w="360" w:type="dxa"/>
            <w:vAlign w:val="bottom"/>
            <w:gridSpan w:val="3"/>
          </w:tcPr>
          <w:p>
            <w:pPr>
              <w:spacing w:after="0"/>
              <w:rPr>
                <w:sz w:val="14"/>
                <w:szCs w:val="14"/>
                <w:color w:val="auto"/>
              </w:rPr>
            </w:pPr>
          </w:p>
        </w:tc>
        <w:tc>
          <w:tcPr>
            <w:tcW w:w="600" w:type="dxa"/>
            <w:vAlign w:val="bottom"/>
            <w:tcBorders>
              <w:top w:val="single" w:sz="8" w:color="0000EE"/>
            </w:tcBorders>
            <w:gridSpan w:val="5"/>
          </w:tcPr>
          <w:p>
            <w:pPr>
              <w:spacing w:after="0"/>
              <w:rPr>
                <w:sz w:val="14"/>
                <w:szCs w:val="14"/>
                <w:color w:val="auto"/>
              </w:rPr>
            </w:pPr>
          </w:p>
        </w:tc>
        <w:tc>
          <w:tcPr>
            <w:tcW w:w="4820" w:type="dxa"/>
            <w:vAlign w:val="bottom"/>
            <w:gridSpan w:val="10"/>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00EE"/>
              </w:rPr>
              <w:t>ITEM 16.</w:t>
            </w:r>
          </w:p>
        </w:tc>
        <w:tc>
          <w:tcPr>
            <w:tcW w:w="4060" w:type="dxa"/>
            <w:vAlign w:val="bottom"/>
            <w:gridSpan w:val="15"/>
          </w:tcPr>
          <w:p>
            <w:pPr>
              <w:ind w:left="40"/>
              <w:spacing w:after="0" w:line="167" w:lineRule="exact"/>
              <w:rPr>
                <w:sz w:val="20"/>
                <w:szCs w:val="20"/>
                <w:color w:val="auto"/>
              </w:rPr>
            </w:pPr>
            <w:r>
              <w:rPr>
                <w:rFonts w:ascii="Times New Roman" w:cs="Times New Roman" w:eastAsia="Times New Roman" w:hAnsi="Times New Roman"/>
                <w:sz w:val="16"/>
                <w:szCs w:val="16"/>
                <w:b w:val="1"/>
                <w:bCs w:val="1"/>
                <w:color w:val="0000EE"/>
              </w:rPr>
              <w:t>FORM 10</w:t>
            </w:r>
            <w:r>
              <w:rPr>
                <w:rFonts w:ascii="Times New Roman" w:cs="Times New Roman" w:eastAsia="Times New Roman" w:hAnsi="Times New Roman"/>
                <w:sz w:val="16"/>
                <w:szCs w:val="16"/>
                <w:color w:val="0000EE"/>
              </w:rPr>
              <w:t>–</w:t>
            </w:r>
            <w:r>
              <w:rPr>
                <w:rFonts w:ascii="Times New Roman" w:cs="Times New Roman" w:eastAsia="Times New Roman" w:hAnsi="Times New Roman"/>
                <w:sz w:val="16"/>
                <w:szCs w:val="16"/>
                <w:b w:val="1"/>
                <w:bCs w:val="1"/>
                <w:color w:val="0000EE"/>
              </w:rPr>
              <w:t>K SUMMARY</w:t>
            </w:r>
          </w:p>
        </w:tc>
        <w:tc>
          <w:tcPr>
            <w:tcW w:w="5780" w:type="dxa"/>
            <w:vAlign w:val="bottom"/>
            <w:gridSpan w:val="18"/>
          </w:tcPr>
          <w:p>
            <w:pPr>
              <w:spacing w:after="0"/>
              <w:rPr>
                <w:sz w:val="14"/>
                <w:szCs w:val="14"/>
                <w:color w:val="auto"/>
              </w:rPr>
            </w:pPr>
          </w:p>
        </w:tc>
        <w:tc>
          <w:tcPr>
            <w:tcW w:w="580" w:type="dxa"/>
            <w:vAlign w:val="bottom"/>
            <w:gridSpan w:val="3"/>
          </w:tcPr>
          <w:p>
            <w:pPr>
              <w:jc w:val="center"/>
              <w:ind w:left="362"/>
              <w:spacing w:after="0" w:line="167" w:lineRule="exact"/>
              <w:rPr>
                <w:sz w:val="20"/>
                <w:szCs w:val="20"/>
                <w:color w:val="auto"/>
              </w:rPr>
            </w:pPr>
            <w:r>
              <w:rPr>
                <w:rFonts w:ascii="Times New Roman" w:cs="Times New Roman" w:eastAsia="Times New Roman" w:hAnsi="Times New Roman"/>
                <w:sz w:val="16"/>
                <w:szCs w:val="16"/>
                <w:color w:val="0000EE"/>
                <w:w w:val="87"/>
              </w:rPr>
              <w:t>64</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40"/>
          </w:cols>
          <w:pgMar w:left="320" w:top="72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color w:val="auto"/>
        </w:rPr>
        <w:t>CAUTIONARY STATEMENT REGARDING FORWARD-LOOKING STATEMENTS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This annual report contains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within the meaning of Section 27A of the Securities Act of 1933, as amended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Section 21E of the Securities Exchange Act of 1934, as amended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and is subject to the safe harbor created by those sections.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 for purposes of federal and state securities laws.</w:t>
      </w:r>
    </w:p>
    <w:p>
      <w:pPr>
        <w:spacing w:after="0" w:line="16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Forward-looking statements involve risks and uncertainties, such as statements about our plans, objectives, expectations, assumptions or future events. In some cases, you can identify forward-looking statements by terminology such as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will,</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should,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would,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could,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expects,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plans,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contemplate,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anticipates,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believes,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estimates,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predicts,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projects,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intend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or the negative of such terms or other comparable terminology denoting uncertainty or an action that may, will or is expected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occur in the future,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examples of the forward-looking statements contained in this annual report include, among other things, statements about the following:</w:t>
      </w:r>
    </w:p>
    <w:p>
      <w:pPr>
        <w:spacing w:after="0" w:line="166" w:lineRule="exact"/>
        <w:rPr>
          <w:sz w:val="20"/>
          <w:szCs w:val="20"/>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obtain regulatory approval to market and sell our product candidates in the United States, Europe and elsewhere;</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initiation, timing, cost, progress and success of our research and development programs, preclinical studies and clinical trials for our product candidates;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advance product candidates into, and successfully complete, clinical trials;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successfully commercialize the sale of our product candidates in the United States, Europe and elsewhere;</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recruit sufficient numbers of patients for our future clinical trials for our pharmaceutical products;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achieve profitability;</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implementation of our business model and strategic plans;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develop and commercialize product candidates for orphan and niche indications independently;</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commercialization, marketing and manufacturing capabilities and strategy;</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protect our intellectual property and operate our business without infringing upon the intellectual property rights of others;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4" w:name="page5"/>
    <w:bookmarkEnd w:id="4"/>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expectations regarding federal, state and foreign regulatory requirements;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therapeutic benefits, effectiveness and safety of our product candidates;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accuracy of our estimates of the size and characteristics of the markets that may be addressed by our products and product candidates;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rate and degree of market acceptance and clinical utility of our future products, if any;</w:t>
      </w:r>
    </w:p>
    <w:p>
      <w:pPr>
        <w:spacing w:after="0" w:line="189" w:lineRule="exact"/>
        <w:rPr>
          <w:rFonts w:ascii="Times New Roman" w:cs="Times New Roman" w:eastAsia="Times New Roman" w:hAnsi="Times New Roman"/>
          <w:sz w:val="16"/>
          <w:szCs w:val="16"/>
          <w:color w:val="auto"/>
        </w:rPr>
      </w:pPr>
    </w:p>
    <w:p>
      <w:pPr>
        <w:ind w:left="560" w:right="240" w:hanging="287"/>
        <w:spacing w:after="0" w:line="27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expectations regarding market risk, including interest rate changes, foreign currency fluctuations and regional or global economic impacts caused by public health threats, such as the outbreak of coronavirus or other infectious diseases;</w:t>
      </w:r>
    </w:p>
    <w:p>
      <w:pPr>
        <w:spacing w:after="0" w:line="146"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engage and retain the employees required to grow our business;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future financial performance and projected expenditures;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developments relating to our competitors and our industry, including the success of competing therapies that are or become available; and</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estimates of our expenses, future revenue, capital requirements and our needs for additional financing.</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The ultimate correctness of these forward-looking statements depends upon a number of known and unknown risks and events. When reviewing the discussion below, you should keep in mind the substantial risks and uncertainties that impact our business. In particular, we encourage you to review the risks and uncertainties described in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the other cautionary statements made in this annual report in our other SEC filings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16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i w:val="1"/>
          <w:iCs w:val="1"/>
          <w:color w:val="auto"/>
        </w:rPr>
        <w:t>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Nonetheless, we reserve the right to make such updates from time to time by press release, periodic report, or other method of public disclosure without the need for specific reference to this Quarterly Report. No such update shall be deemed to indicate that other statements not addressed by such update is incorrect or create an obligation to provide any other updates.</w:t>
      </w:r>
    </w:p>
    <w:p>
      <w:pPr>
        <w:spacing w:after="0" w:line="166"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6"/>
          <w:szCs w:val="16"/>
          <w:i w:val="1"/>
          <w:iCs w:val="1"/>
          <w:color w:val="auto"/>
        </w:rPr>
        <w:t>The information included in this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Discussion and Analysis of Financial Condition and Results of Operations should be read in conjunction with our audited consolidated financial statements and notes contained in this annual report.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ind w:right="20" w:firstLine="560"/>
        <w:spacing w:after="0" w:line="247" w:lineRule="auto"/>
        <w:rPr>
          <w:sz w:val="20"/>
          <w:szCs w:val="20"/>
          <w:color w:val="auto"/>
        </w:rPr>
      </w:pPr>
      <w:r>
        <w:rPr>
          <w:rFonts w:ascii="Times New Roman" w:cs="Times New Roman" w:eastAsia="Times New Roman" w:hAnsi="Times New Roman"/>
          <w:sz w:val="16"/>
          <w:szCs w:val="16"/>
          <w:color w:val="auto"/>
        </w:rPr>
        <w:t xml:space="preserve">XBiotech Inc. (“XBiotech” or the “Company”) is a biopharmaceutical company that discovers and develops True Human™ monoclonal antibodies for treating a variety of diseases. XBiotech was incorporated in Canada on March 22, 2005. The Company’s Internet address is </w:t>
      </w:r>
      <w:r>
        <w:rPr>
          <w:rFonts w:ascii="Times New Roman" w:cs="Times New Roman" w:eastAsia="Times New Roman" w:hAnsi="Times New Roman"/>
          <w:sz w:val="16"/>
          <w:szCs w:val="16"/>
          <w:u w:val="single" w:color="auto"/>
          <w:color w:val="auto"/>
        </w:rPr>
        <w:t>www.xbiotech.com</w:t>
      </w:r>
      <w:r>
        <w:rPr>
          <w:rFonts w:ascii="Times New Roman" w:cs="Times New Roman" w:eastAsia="Times New Roman" w:hAnsi="Times New Roman"/>
          <w:sz w:val="16"/>
          <w:szCs w:val="16"/>
          <w:color w:val="auto"/>
        </w:rPr>
        <w:t>. The Company makes available free of charge on or through its website its annual report on Form 10-K, quarterly reports on Form 10-Q, current reports on Form 8-K, and amendments to those reports filed or furnished pursuant to Section 13(a) or 15(d) of the Securities Exchange Act of 1934, as well as proxy statements, as soon as reasonably practicable after the Company electronically files such material with, or furnishes it to, the Securities and Exchange Commission. The Company’s website is included in this annual report on Form 10-K as an inactive textual reference only. The information on, or accessible through, the Company’s website is not a part of, or incorporated by reference in, this annual report on Form 10-K. The SEC maintains an Internet site that contains these reports at http://www.sec.gov.</w:t>
      </w:r>
    </w:p>
    <w:p>
      <w:pPr>
        <w:spacing w:after="0" w:line="168" w:lineRule="exact"/>
        <w:rPr>
          <w:sz w:val="20"/>
          <w:szCs w:val="20"/>
          <w:color w:val="auto"/>
        </w:rPr>
      </w:pPr>
    </w:p>
    <w:p>
      <w:pPr>
        <w:ind w:right="40" w:firstLine="560"/>
        <w:spacing w:after="0" w:line="249" w:lineRule="auto"/>
        <w:rPr>
          <w:sz w:val="20"/>
          <w:szCs w:val="20"/>
          <w:color w:val="auto"/>
        </w:rPr>
      </w:pPr>
      <w:r>
        <w:rPr>
          <w:rFonts w:ascii="Times New Roman" w:cs="Times New Roman" w:eastAsia="Times New Roman" w:hAnsi="Times New Roman"/>
          <w:sz w:val="16"/>
          <w:szCs w:val="16"/>
          <w:color w:val="auto"/>
        </w:rPr>
        <w:t>XBiotech’s True Human™ monoclonal antibodies are derived from human donors that mount a natural human immune response. All other marketed antibody therapeutics are derived from animal immunization. It is intuitive that naturally occurring human antibodies have the potential to be safer, more effective and faster to develop than animal engineered counterparts. XBiotech has developed a pipeline of product candidates targeting both inflammatory and infectious diseases. The Company has also developed manufacturing technology that reduces the cost and time to launch new product candidates. The Company designed and built a state-of-the-art research and manufacturing center at its Company’s 48 acre research campus in Austin, Texas. XBiotech is thus a fully integrated developer of biopharmaceuticals.</w:t>
      </w:r>
    </w:p>
    <w:p>
      <w:pPr>
        <w:spacing w:after="0" w:line="166"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6"/>
          <w:szCs w:val="16"/>
          <w:color w:val="auto"/>
        </w:rPr>
        <w:t>An area of medical focus for XBiotech are therapies that block a potent substance, known as interleukin-1 alpha (IL-1a), that mediates a number of pathophysiological processes including tissue breakdown (ie. synovium, cartilage, bone), paraneoplastic angiogenesis and tumor stroma remodeling, formation of blood clots, malaise, muscle wasting and general inflammation. IL-1a is a protein that is on or in cells of the body and is involved in the body’s response to injury or trauma. In many chronic (eg. arthritis) and acute injury scenarios (eg. stroke), IL-1a may mediate harmful disease-related activity.</w:t>
      </w:r>
    </w:p>
    <w:p>
      <w:pPr>
        <w:spacing w:after="0" w:line="164" w:lineRule="exact"/>
        <w:rPr>
          <w:sz w:val="20"/>
          <w:szCs w:val="20"/>
          <w:color w:val="auto"/>
        </w:rPr>
      </w:pPr>
    </w:p>
    <w:p>
      <w:pPr>
        <w:ind w:firstLine="560"/>
        <w:spacing w:after="0" w:line="198" w:lineRule="auto"/>
        <w:rPr>
          <w:sz w:val="20"/>
          <w:szCs w:val="20"/>
          <w:color w:val="auto"/>
        </w:rPr>
      </w:pPr>
      <w:r>
        <w:rPr>
          <w:rFonts w:ascii="Times New Roman" w:cs="Times New Roman" w:eastAsia="Times New Roman" w:hAnsi="Times New Roman"/>
          <w:sz w:val="16"/>
          <w:szCs w:val="16"/>
          <w:color w:val="auto"/>
        </w:rPr>
        <w:t>At the end of 2019, XBiotech sold a True Human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6"/>
          <w:szCs w:val="16"/>
          <w:color w:val="auto"/>
        </w:rPr>
        <w:t xml:space="preserve"> antibody therapeutic it was developing that targeted IL-1a for $750 million in cash and $600 million potential milestone payments. In a unique deal structure, XBiotech agreed to not further develop any anti-IL-1a antibodies for dermatology, while XBiotech remained free to discover and develop new True Human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6"/>
          <w:szCs w:val="16"/>
          <w:color w:val="auto"/>
        </w:rPr>
        <w:t xml:space="preserve"> anti-IL-1a antibodies for use in areas of medicine outside of dermatology. The Company quickly identified new IL-1a targeting product candidates and has already brought these into clinical studies under INDs in oncology, rheumatology and neurology. While the Company previously was focused on a single True Human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6"/>
          <w:szCs w:val="16"/>
          <w:color w:val="auto"/>
        </w:rPr>
        <w:t xml:space="preserve"> antibody targeting IL-1a, it is now developing in parallel two anti-IL-1a product candidates and may develop one or more others. Since IL-1a is involved in the pathology of multiple diseases, the Company believes it makes business sense to use different anti-IL-1a antibodies for specific areas of medicine, allowing potential partnership or sale of each antibody separately for different disease indications.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Financial</w:t>
      </w:r>
    </w:p>
    <w:p>
      <w:pPr>
        <w:spacing w:after="0" w:line="191" w:lineRule="exact"/>
        <w:rPr>
          <w:sz w:val="20"/>
          <w:szCs w:val="20"/>
          <w:color w:val="auto"/>
        </w:rPr>
      </w:pPr>
    </w:p>
    <w:p>
      <w:pPr>
        <w:ind w:firstLine="560"/>
        <w:spacing w:after="0" w:line="210" w:lineRule="auto"/>
        <w:rPr>
          <w:sz w:val="20"/>
          <w:szCs w:val="20"/>
          <w:color w:val="auto"/>
        </w:rPr>
      </w:pPr>
      <w:r>
        <w:rPr>
          <w:rFonts w:ascii="Times New Roman" w:cs="Times New Roman" w:eastAsia="Times New Roman" w:hAnsi="Times New Roman"/>
          <w:sz w:val="16"/>
          <w:szCs w:val="16"/>
          <w:color w:val="auto"/>
        </w:rPr>
        <w:t>XBiotech’s sale of its True Human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6"/>
          <w:szCs w:val="16"/>
          <w:color w:val="auto"/>
        </w:rPr>
        <w:t xml:space="preserve"> antibody Bermekimab generated a total $750 million in income between December 30, 2019 and June 30, 2021. Since 2020, the Company has returned a total of $495 million to its shareholders through a combination of stock repurchase and dividends. The remaining cash is being used for ongoing operations as part of a multi-year business plan to identify and commercialize True Human™ antibodies, including new anti-Il-1a therapies.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6" w:name="page7"/>
    <w:bookmarkEnd w:id="6"/>
    <w:p>
      <w:pPr>
        <w:ind w:right="60" w:firstLine="560"/>
        <w:spacing w:after="0" w:line="251" w:lineRule="auto"/>
        <w:rPr>
          <w:sz w:val="20"/>
          <w:szCs w:val="20"/>
          <w:color w:val="auto"/>
        </w:rPr>
      </w:pPr>
      <w:r>
        <w:rPr>
          <w:rFonts w:ascii="Times New Roman" w:cs="Times New Roman" w:eastAsia="Times New Roman" w:hAnsi="Times New Roman"/>
          <w:sz w:val="16"/>
          <w:szCs w:val="16"/>
          <w:color w:val="auto"/>
        </w:rPr>
        <w:t>Starting in 2020, XBiotech used its proprietary manufacturing technology, its manufacturing plant and infrastructure to produce drug product under a supply agreement for a world-leading pharmaceutical company. In addition, during 2020 and 2021 XBiotech provided clinical trial operations services for two Phase II clinical studies for the same drug company. In 2022 XBiotech extended the supply agreement. As of the end of 2023, these agreements concluded and XBiotech is no longer producing drug product or conducting contract clinical research under these agreements.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Development of IL-1</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i w:val="1"/>
          <w:iCs w:val="1"/>
          <w:color w:val="auto"/>
        </w:rPr>
        <w:t xml:space="preserve"> Therapies</w:t>
      </w:r>
    </w:p>
    <w:p>
      <w:pPr>
        <w:spacing w:after="0" w:line="191" w:lineRule="exact"/>
        <w:rPr>
          <w:sz w:val="20"/>
          <w:szCs w:val="20"/>
          <w:color w:val="auto"/>
        </w:rPr>
      </w:pPr>
    </w:p>
    <w:p>
      <w:pPr>
        <w:ind w:right="120" w:firstLine="560"/>
        <w:spacing w:after="0" w:line="251" w:lineRule="auto"/>
        <w:rPr>
          <w:sz w:val="20"/>
          <w:szCs w:val="20"/>
          <w:color w:val="auto"/>
        </w:rPr>
      </w:pPr>
      <w:r>
        <w:rPr>
          <w:rFonts w:ascii="Times New Roman" w:cs="Times New Roman" w:eastAsia="Times New Roman" w:hAnsi="Times New Roman"/>
          <w:sz w:val="16"/>
          <w:szCs w:val="16"/>
          <w:color w:val="auto"/>
        </w:rPr>
        <w:t>IL-1a is a substance produced by the body that plays a key role in many disease processes. While it is naturally made by the body, when not properly controlled, and in situations of acute or chronic injury, IL-1a can contribute to the development and progression of a variety of medical conditions, such as cancer, stroke, heart attack or arthritis, to name a few. Completed clinical studies and myriad scientific research has shown that blocking IL-1a may have a beneficial effect in many medical conditions. The potential unmet medical need for blocking IL-1a is therefore very significant, on the scale of the anti-TNF therapies developed over the past twenty-five years.</w:t>
      </w:r>
    </w:p>
    <w:p>
      <w:pPr>
        <w:spacing w:after="0" w:line="130" w:lineRule="exact"/>
        <w:rPr>
          <w:sz w:val="20"/>
          <w:szCs w:val="20"/>
          <w:color w:val="auto"/>
        </w:rPr>
      </w:pPr>
    </w:p>
    <w:p>
      <w:pPr>
        <w:ind w:right="60" w:firstLine="560"/>
        <w:spacing w:after="0" w:line="191" w:lineRule="exact"/>
        <w:rPr>
          <w:sz w:val="20"/>
          <w:szCs w:val="20"/>
          <w:color w:val="auto"/>
        </w:rPr>
      </w:pPr>
      <w:r>
        <w:rPr>
          <w:rFonts w:ascii="Times New Roman" w:cs="Times New Roman" w:eastAsia="Times New Roman" w:hAnsi="Times New Roman"/>
          <w:sz w:val="16"/>
          <w:szCs w:val="16"/>
          <w:color w:val="auto"/>
        </w:rPr>
        <w:t>In 2021, the Company commenced a clinical study with its Natrunix™ True Human™ antibody targeting IL-1</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in oncology (Pancreatic Cancer). The study was randomized, double-blinded and placebo controlled to provide a preliminary assessment of efficacy and safety for Natrunix in combination with chemotherapy in an advanced cancer population. The study was sized to include 60 subjects, intended to provide a preliminary assessment of efficacy. Database lock was performed and an announcement of the preliminary analysis of the data was made June 18, 2024. The last subject in the study had their last open label extension dose in April of 2025, completing 120 weeks of total dosing with excellent safety and efficacy. The company believes the findings from the study represent a potentially transformative approach to cancer management. Subjects treated with Natrunix had reduced hospitalization, fewer serious adverse events, longer periods of progression free survival and less incidence of severe diarrhea, compared to patients receiving placebo. The company further believes that the treatment effect is not specific to pancreatic cancer, and a similar effect may be seen in other solid tumors being treated with chemotherapy. An analogous therapy is G-CSF, originally developed by Amgen and approved in 1991. The therapy helped recovery of patients undergoing myelosuppressive chemotherapy and has been widely used ever since as an adjunct. The Company has been carefully considering an FDA regulatory path based on historical approvals and discussions are ongoing with the FDA for the future of Natrunix in oncology.</w:t>
      </w:r>
    </w:p>
    <w:p>
      <w:pPr>
        <w:spacing w:after="0" w:line="17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Company launched a clinical Rheumatology program in August, 2023. A total of 233 subjects were enrolled into a double blind, placebo-controlled study to investigate the efficacy of Natrunix as a treatment for rheumatoid arthritis in combination with a common prescription medication, methotrexate. The study was completed and an announcement of findings were made on December 23, 2024. The study aimed to demonstrate that Natrunix would significantly enhance treatment outcomes with reduced side effects of subjects already taking methotrexate. However, numerous enrollment irregularities were observed with major enrolling clinical sites. Further investigation of the sites led the Company to believe that widespread improprieties at clinical sites render the data uninterpretable. The Company continues to believe in the potential for Natrunix as a treatment for arthritic diseases.</w:t>
      </w:r>
    </w:p>
    <w:p>
      <w:pPr>
        <w:spacing w:after="0" w:line="166"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XBiotech filed an investigational new drug application in 2022 for our True Human™ antibody Hutrukin. Hutrukin is a candidate therapeutic to reduce brain injury that occurs after reperfusion procedures used to treat stroke. The Company completed a phase I study at the end of 2023 that demonstrated high bolus doses of Hutrukin, similar to doses that would be given to prevent brain reperfusion injury in stroke therapy, are safe and well tolerated. Analysis of the data was completed in Q1 2024. The Company’s plan to launch a Phase II study in stroke during 2024 was put on hold until its regulatory path for its cancer and arthritis programs are clarified with the FDA.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7" w:name="page8"/>
    <w:bookmarkEnd w:id="7"/>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Infectious Disease Pipeline</w:t>
      </w:r>
    </w:p>
    <w:p>
      <w:pPr>
        <w:spacing w:after="0" w:line="191" w:lineRule="exact"/>
        <w:rPr>
          <w:sz w:val="20"/>
          <w:szCs w:val="20"/>
          <w:color w:val="auto"/>
        </w:rPr>
      </w:pPr>
    </w:p>
    <w:p>
      <w:pPr>
        <w:ind w:firstLine="560"/>
        <w:spacing w:after="0" w:line="248" w:lineRule="auto"/>
        <w:rPr>
          <w:sz w:val="20"/>
          <w:szCs w:val="20"/>
          <w:color w:val="auto"/>
        </w:rPr>
      </w:pPr>
      <w:r>
        <w:rPr>
          <w:rFonts w:ascii="Times New Roman" w:cs="Times New Roman" w:eastAsia="Times New Roman" w:hAnsi="Times New Roman"/>
          <w:sz w:val="16"/>
          <w:szCs w:val="16"/>
          <w:color w:val="auto"/>
        </w:rPr>
        <w:t>While market potential keeps XBiotech focused on anti-IL-1a therapies, unmet medical need and the potential for uniquely effective product candidates keeps the Company dedicated to advancing its infectious disease pipeline. The Company has identified several major areas of urgent unmet medical need for True Human™ anti-infective antibody therapies. Human antibodies protect all of us on a daily basis from infectious disease—and the Company continues to believe that its True Human™ analogues of naturally immunity may serve as an extremely effective means for supplementing infectious immunity—in compromised individuals—against numerous related infectious diseases, such as shingles, influenza and C. difficile. The XBiotech discovery process involves procuring donations from blood banks and screening blood samples from healthy donors for antibodies that exhibit exceptionally strong immunity to specific diseases.</w:t>
      </w:r>
    </w:p>
    <w:p>
      <w:pPr>
        <w:spacing w:after="0" w:line="166" w:lineRule="exact"/>
        <w:rPr>
          <w:sz w:val="20"/>
          <w:szCs w:val="20"/>
          <w:color w:val="auto"/>
        </w:rPr>
      </w:pPr>
    </w:p>
    <w:p>
      <w:pPr>
        <w:ind w:right="240" w:firstLine="560"/>
        <w:spacing w:after="0" w:line="299" w:lineRule="auto"/>
        <w:rPr>
          <w:sz w:val="20"/>
          <w:szCs w:val="20"/>
          <w:color w:val="auto"/>
        </w:rPr>
      </w:pPr>
      <w:r>
        <w:rPr>
          <w:rFonts w:ascii="Times New Roman" w:cs="Times New Roman" w:eastAsia="Times New Roman" w:hAnsi="Times New Roman"/>
          <w:sz w:val="14"/>
          <w:szCs w:val="14"/>
          <w:color w:val="auto"/>
        </w:rPr>
        <w:t xml:space="preserve">True Human™ antibodies may be used to provide highly potent and targeted immunity against infectious diseases, including in the elderly, where natural immunity is waning; in young children where immunity has yet to develop; or even in otherwise healthy individuals, where infectious agents have overwhelmed natural immunity and where specially selected antibodies are needed to neutralize the infection (ie. </w:t>
      </w:r>
      <w:r>
        <w:rPr>
          <w:rFonts w:ascii="Times New Roman" w:cs="Times New Roman" w:eastAsia="Times New Roman" w:hAnsi="Times New Roman"/>
          <w:sz w:val="14"/>
          <w:szCs w:val="14"/>
          <w:i w:val="1"/>
          <w:iCs w:val="1"/>
          <w:color w:val="auto"/>
        </w:rPr>
        <w:t>Staphylococcus aureus</w:t>
      </w:r>
      <w:r>
        <w:rPr>
          <w:rFonts w:ascii="Times New Roman" w:cs="Times New Roman" w:eastAsia="Times New Roman" w:hAnsi="Times New Roman"/>
          <w:sz w:val="14"/>
          <w:szCs w:val="14"/>
          <w:color w:val="auto"/>
        </w:rPr>
        <w:t>). For the latter population, this can occur during intravenous drug use, from a deep puncture wound, or from the result of surgery, where bacteria have gained unnatural entry into a body compartment where it can establish and evade the immune system.</w:t>
      </w:r>
    </w:p>
    <w:p>
      <w:pPr>
        <w:spacing w:after="0" w:line="131" w:lineRule="exact"/>
        <w:rPr>
          <w:sz w:val="20"/>
          <w:szCs w:val="20"/>
          <w:color w:val="auto"/>
        </w:rPr>
      </w:pPr>
    </w:p>
    <w:p>
      <w:pPr>
        <w:ind w:right="160" w:firstLine="560"/>
        <w:spacing w:after="0" w:line="255" w:lineRule="auto"/>
        <w:rPr>
          <w:sz w:val="20"/>
          <w:szCs w:val="20"/>
          <w:color w:val="auto"/>
        </w:rPr>
      </w:pPr>
      <w:r>
        <w:rPr>
          <w:rFonts w:ascii="Times New Roman" w:cs="Times New Roman" w:eastAsia="Times New Roman" w:hAnsi="Times New Roman"/>
          <w:sz w:val="16"/>
          <w:szCs w:val="16"/>
          <w:color w:val="auto"/>
        </w:rPr>
        <w:t>The Company currently has a clinical stage therapeutic for methicillin resistant Staphylococcus aureus (MRSA), and several pre-clinical stage therapeutics, including: an oral delivery antibody therapeutic for colon infection by C. difficile; an injectable therapy for varicella zoster (aka adult chicken pox), the causative agent for shingles; and an influenza therapy, designed to neutralize all known strains and variants of influenza that have been identified since the 1918 pandemic.</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the upcoming year, the company continues to work towards filing investigational new drug applications for its True Human™ antibodies against shingles and influenza.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p>
      <w:pPr>
        <w:spacing w:after="0" w:line="191" w:lineRule="exact"/>
        <w:rPr>
          <w:sz w:val="20"/>
          <w:szCs w:val="20"/>
          <w:color w:val="auto"/>
        </w:rPr>
      </w:pPr>
    </w:p>
    <w:p>
      <w:pPr>
        <w:ind w:right="220" w:firstLine="560"/>
        <w:spacing w:after="0" w:line="251" w:lineRule="auto"/>
        <w:rPr>
          <w:sz w:val="20"/>
          <w:szCs w:val="20"/>
          <w:color w:val="auto"/>
        </w:rPr>
      </w:pPr>
      <w:r>
        <w:rPr>
          <w:rFonts w:ascii="Times New Roman" w:cs="Times New Roman" w:eastAsia="Times New Roman" w:hAnsi="Times New Roman"/>
          <w:sz w:val="16"/>
          <w:szCs w:val="16"/>
          <w:color w:val="auto"/>
        </w:rPr>
        <w:t>In 2022 XBiotech completed an expansion of its manufacturing and R&amp;D center. The expansion resulted in the creation of two new wings: one provides state-of-the-art research laboratory for R&amp;D scientists; another area provides administrative space for dozens of personnel working in manufacturing, clinical and other operations. The building additions have enhanced the Company’s ability to house a larger workforce, expand R&amp;D activities and orchestrate the production of multiple drug products from its existing manufacturing and R&amp;D center.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Background on Therapeutic Antibodies</w:t>
      </w:r>
    </w:p>
    <w:p>
      <w:pPr>
        <w:spacing w:after="0" w:line="191" w:lineRule="exact"/>
        <w:rPr>
          <w:sz w:val="20"/>
          <w:szCs w:val="20"/>
          <w:color w:val="auto"/>
        </w:rPr>
      </w:pPr>
    </w:p>
    <w:p>
      <w:pPr>
        <w:ind w:right="20" w:firstLine="560"/>
        <w:spacing w:after="0" w:line="216" w:lineRule="auto"/>
        <w:rPr>
          <w:sz w:val="20"/>
          <w:szCs w:val="20"/>
          <w:color w:val="auto"/>
        </w:rPr>
      </w:pPr>
      <w:r>
        <w:rPr>
          <w:rFonts w:ascii="Times New Roman" w:cs="Times New Roman" w:eastAsia="Times New Roman" w:hAnsi="Times New Roman"/>
          <w:sz w:val="15"/>
          <w:szCs w:val="15"/>
          <w:color w:val="auto"/>
        </w:rPr>
        <w:t>While antibody therapeutics have dominated drug development for the past 25 years, Kohler and Milstein probably never envisaged how difficult it would be to isolate and produce actual human antibodies. Today, in the $247 billion antibody market — apart from XBiotech’s True Human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antibodies — there is not a single antibody therapy derived from a natural human immune response: all are mouse derived and engineered, even those antibody therapies marketed as “human”. John Simard, founder and former CEO of XBiotech, recognized the potential to deliver a new generation of True Human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antibodies and founded XBiotech around the mission to develop the technology to isolate and clone individual antibodies from human blood samples. Today, XBiotech has identified and produced numerous True Human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antibodies candidate therapeutics that are derived from naturally immune individuals. XBiotech believes the greatest repository of medicines lies within the natural immune repertoire of the human body. The Company continues to catalogue and develop these True Human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antibodies, which it sees as the greatest untapped resource for a new generation of therapeutics.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91" w:lineRule="exact"/>
        <w:rPr>
          <w:sz w:val="20"/>
          <w:szCs w:val="20"/>
          <w:color w:val="auto"/>
        </w:rPr>
      </w:pPr>
    </w:p>
    <w:p>
      <w:pPr>
        <w:ind w:right="200" w:firstLine="560"/>
        <w:spacing w:after="0" w:line="293" w:lineRule="auto"/>
        <w:rPr>
          <w:sz w:val="20"/>
          <w:szCs w:val="20"/>
          <w:color w:val="auto"/>
        </w:rPr>
      </w:pPr>
      <w:r>
        <w:rPr>
          <w:rFonts w:ascii="Times New Roman" w:cs="Times New Roman" w:eastAsia="Times New Roman" w:hAnsi="Times New Roman"/>
          <w:sz w:val="14"/>
          <w:szCs w:val="14"/>
          <w:color w:val="auto"/>
        </w:rPr>
        <w:t>Each member of our senior management team has been with XBiotech on average for more than 13 years, and each has been with the Company through the process of antibody discovery, manufacturing, formulation, preclinical development, regulatory submissions, human clinical trials and commercial sale. We believe that our employees’ collective knowledge of our business allows us to operate as among the most cost effective, efficient and capable operations in the biotechnology industry. Our board of directors (“Board”) includes individuals with significant industry, scientific and legal knowledge. As of December 31, 2025, we had a total of 85 total full-time employees. None of our employees are represented by a collective bargaining agreement, nor have we experienced any work stoppage. We believe that our relations with our employees are good.</w:t>
      </w:r>
    </w:p>
    <w:p>
      <w:pPr>
        <w:spacing w:after="0" w:line="138" w:lineRule="exact"/>
        <w:rPr>
          <w:sz w:val="20"/>
          <w:szCs w:val="20"/>
          <w:color w:val="auto"/>
        </w:rPr>
      </w:pPr>
    </w:p>
    <w:p>
      <w:pPr>
        <w:ind w:firstLine="560"/>
        <w:spacing w:after="0" w:line="247" w:lineRule="auto"/>
        <w:rPr>
          <w:sz w:val="20"/>
          <w:szCs w:val="20"/>
          <w:color w:val="auto"/>
        </w:rPr>
      </w:pPr>
      <w:r>
        <w:rPr>
          <w:rFonts w:ascii="Times New Roman" w:cs="Times New Roman" w:eastAsia="Times New Roman" w:hAnsi="Times New Roman"/>
          <w:sz w:val="16"/>
          <w:szCs w:val="16"/>
          <w:color w:val="auto"/>
        </w:rPr>
        <w:t>We are committed to growing our business over the long term. As a result of the competitive nature of the industry in which we operate, employees have significant career mobility and as a result, the competition for experienced employees is great. The existence of this competition, and the need for talented and experienced employees to realize our business objectives, underlies the design and implementation of our compensation programs. At the same time, we seek to keep our approach to compensation simple and streamlined to reflect the still relatively moderate size of our company. We have compensation, leave and benefits programs necessary to attract and retain the talented and experienced employees necessary to develop our business including competitive salaries, stock options awards to permanent employees, both upon initial hiring and annually thereafter, and pay annual bonuses to permanent employees contingent on the achievement of corporate and/or personal objectives. We have developed an Employee Handbook that contains all corporate policies and guidelines for professional behavior. Our policies and practices apply to all employees, regardless of title. These guidelines include our Code of Business Conduct and Ethics which is posted on our payroll website.</w:t>
      </w:r>
    </w:p>
    <w:p>
      <w:pPr>
        <w:spacing w:after="0" w:line="16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1"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6"/>
          <w:szCs w:val="16"/>
          <w:color w:val="auto"/>
        </w:rPr>
        <w:t>The following summarizes some of the key risks and uncertainties that could materially adversely affect us. You should read this summary together with the more detailed description of each risk factor contained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Business, Financial Condition and Capital Requirements</w:t>
      </w:r>
    </w:p>
    <w:p>
      <w:pPr>
        <w:spacing w:after="0" w:line="191" w:lineRule="exact"/>
        <w:rPr>
          <w:sz w:val="20"/>
          <w:szCs w:val="20"/>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incur significant losses during the development of our current pipeline in the foreseeable future.</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currently have limited opportunities to generate revenue and may never sustain profitability.</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may be dependent on the regulatory approval and commercialization of our product candidates.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laws or regulations could impact on our ability to receive the necessary approvals to successfully market and commercialize our product candidates.</w:t>
      </w:r>
    </w:p>
    <w:p>
      <w:pPr>
        <w:spacing w:after="0" w:line="189" w:lineRule="exact"/>
        <w:rPr>
          <w:rFonts w:ascii="Times New Roman" w:cs="Times New Roman" w:eastAsia="Times New Roman" w:hAnsi="Times New Roman"/>
          <w:sz w:val="16"/>
          <w:szCs w:val="16"/>
          <w:color w:val="auto"/>
        </w:rPr>
      </w:pPr>
    </w:p>
    <w:p>
      <w:pPr>
        <w:ind w:left="560" w:right="140" w:hanging="287"/>
        <w:spacing w:after="0" w:line="255"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we advance into clinical trials may not have favorable results in clinical trials or receive regulatory approval. We have experienced prior setbacks and unfavorable outcomes in clinical trials and previously announced a pause in our rheumatology program in December 2024 following irregularities at clinical sites. We cannot assure that future clinical outcomes will be favorable.</w:t>
      </w:r>
    </w:p>
    <w:p>
      <w:pPr>
        <w:spacing w:after="0" w:line="160"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various reasons, we may be unable to complete clinical trials on a timely basis, incurring higher costs and delayed development timelines.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approval processes of the FDA and comparable foreign regulatory authorities are lengthy, time consuming and inherently unpredictable.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9" w:name="page10"/>
    <w:bookmarkEnd w:id="9"/>
    <w:p>
      <w:pPr>
        <w:ind w:left="287" w:right="60" w:hanging="287"/>
        <w:spacing w:after="0" w:line="267" w:lineRule="auto"/>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cause undesirable side effects or have other properties that could delay or prevent their regulatory approval, limit the commercial profile of an approved label, or result in significant negative consequences prior to or following any marketing approval.</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candidates that we commercialize may not receive coverage and adequate reimbursement from third-party payers.</w:t>
      </w:r>
    </w:p>
    <w:p>
      <w:pPr>
        <w:spacing w:after="0" w:line="189" w:lineRule="exact"/>
        <w:rPr>
          <w:rFonts w:ascii="Times New Roman" w:cs="Times New Roman" w:eastAsia="Times New Roman" w:hAnsi="Times New Roman"/>
          <w:sz w:val="16"/>
          <w:szCs w:val="16"/>
          <w:color w:val="auto"/>
        </w:rPr>
      </w:pPr>
    </w:p>
    <w:p>
      <w:pPr>
        <w:ind w:left="287" w:right="280" w:hanging="287"/>
        <w:spacing w:after="0" w:line="267" w:lineRule="auto"/>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establish an effective sales force and marketing infrastructure or enter into acceptable third-party sales and marketing or licensing arrangements, we may be unable to create optimal revenue from FDA approved products.</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product candidates may not achieve adequate market acceptance for commercial success.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discovering, developing or commercializing products before or more successfully than we do.</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lawsuits against us could cause us to incur substantial liabilities and to limit commercialization of any products that we may develop.</w:t>
      </w:r>
    </w:p>
    <w:p>
      <w:pPr>
        <w:spacing w:after="0" w:line="189" w:lineRule="exact"/>
        <w:rPr>
          <w:rFonts w:ascii="Times New Roman" w:cs="Times New Roman" w:eastAsia="Times New Roman" w:hAnsi="Times New Roman"/>
          <w:sz w:val="16"/>
          <w:szCs w:val="16"/>
          <w:color w:val="auto"/>
        </w:rPr>
      </w:pPr>
    </w:p>
    <w:p>
      <w:pPr>
        <w:ind w:left="287" w:right="360" w:hanging="287"/>
        <w:spacing w:after="0" w:line="267" w:lineRule="auto"/>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Crucial components used in our manufacturing process are acquired from vendors. There are few alternate sources of these components, and ongoing supply could be disrupted.</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key personnel to operate our business, and we may be unable to retain, attract and integrate qualified personnel.</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environmental, health and safety laws and regulations could subject us to fines, penalties or other costs.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disrupted by natural disasters, infrastructure interruptions, or other public health threats.</w:t>
      </w:r>
    </w:p>
    <w:p>
      <w:pPr>
        <w:spacing w:after="0" w:line="200" w:lineRule="exact"/>
        <w:rPr>
          <w:sz w:val="20"/>
          <w:szCs w:val="20"/>
          <w:color w:val="auto"/>
        </w:rPr>
      </w:pPr>
    </w:p>
    <w:p>
      <w:pPr>
        <w:spacing w:after="0" w:line="363" w:lineRule="exact"/>
        <w:rPr>
          <w:sz w:val="20"/>
          <w:szCs w:val="20"/>
          <w:color w:val="auto"/>
        </w:rPr>
      </w:pPr>
    </w:p>
    <w:p>
      <w:pPr>
        <w:ind w:left="287" w:hanging="287"/>
        <w:spacing w:after="0"/>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obtain or protect certain intellectual property rights.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rights do not necessarily address all potential threats to any competitive advantage we may have.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technology may be found to infringe upon third-party intellectual property rights.</w:t>
      </w:r>
    </w:p>
    <w:p>
      <w:pPr>
        <w:spacing w:after="0" w:line="189" w:lineRule="exact"/>
        <w:rPr>
          <w:rFonts w:ascii="Times New Roman" w:cs="Times New Roman" w:eastAsia="Times New Roman" w:hAnsi="Times New Roman"/>
          <w:sz w:val="16"/>
          <w:szCs w:val="16"/>
          <w:color w:val="auto"/>
        </w:rPr>
      </w:pPr>
    </w:p>
    <w:p>
      <w:pPr>
        <w:ind w:left="287" w:right="260" w:hanging="287"/>
        <w:spacing w:after="0" w:line="267" w:lineRule="auto"/>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license needed intellectual property from third parties on commercially reasonable terms or at all, including intellectual property we in-license for manufacturing.</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confidentiality of our trade secrets, our business and competitive position may be harmed.</w:t>
      </w:r>
    </w:p>
    <w:p>
      <w:pPr>
        <w:spacing w:after="0" w:line="200" w:lineRule="exact"/>
        <w:rPr>
          <w:sz w:val="20"/>
          <w:szCs w:val="20"/>
          <w:color w:val="auto"/>
        </w:rPr>
      </w:pPr>
    </w:p>
    <w:p>
      <w:pPr>
        <w:spacing w:after="0" w:line="363" w:lineRule="exact"/>
        <w:rPr>
          <w:sz w:val="20"/>
          <w:szCs w:val="20"/>
          <w:color w:val="auto"/>
        </w:rPr>
      </w:pPr>
    </w:p>
    <w:p>
      <w:pPr>
        <w:ind w:left="287" w:right="20" w:hanging="287"/>
        <w:spacing w:after="0" w:line="267" w:lineRule="auto"/>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share price may be volatile, which could subject us to securities class action lawsuits and prevent you from being able to sell your shares at or above the price at which you purchased them.</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directors, executive officers and principal shareholders continue to have substantial control over our company and could hinder appropriate corporate control.</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our charter documents under Canadian law could make an acquisition of us, which may be beneficial to our shareholders, more difficult.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the judgment of the Company, we may be considered a passive foreign investment company for US tax purposes which may negatively affect US investors.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governed by the corporate laws in British Columbia, Canada which in some cases have a different effect on shareholders than the corporate laws in Delaware.</w:t>
      </w:r>
    </w:p>
    <w:p>
      <w:pPr>
        <w:spacing w:after="0" w:line="200" w:lineRule="exact"/>
        <w:rPr>
          <w:sz w:val="20"/>
          <w:szCs w:val="20"/>
          <w:color w:val="auto"/>
        </w:rPr>
      </w:pPr>
    </w:p>
    <w:p>
      <w:pPr>
        <w:spacing w:after="0" w:line="363" w:lineRule="exact"/>
        <w:rPr>
          <w:sz w:val="20"/>
          <w:szCs w:val="20"/>
          <w:color w:val="auto"/>
        </w:rPr>
      </w:pPr>
    </w:p>
    <w:p>
      <w:pPr>
        <w:ind w:left="287" w:hanging="287"/>
        <w:spacing w:after="0"/>
        <w:tabs>
          <w:tab w:leader="none" w:pos="28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additional capital may cause dilution to our existing shareholders, restrict our operations or require us to relinquish rights to our technologies or product candidates.</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sales, or the possibility of future sales, of a substantial number of our common stock could adversely affect the price of the shares and dilute shareholders.</w:t>
      </w:r>
    </w:p>
    <w:p>
      <w:pPr>
        <w:spacing w:after="0" w:line="189"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71755</wp:posOffset>
            </wp:positionV>
            <wp:extent cx="715073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967"/>
          </w:cols>
          <w:pgMar w:left="593" w:top="520" w:right="339" w:bottom="1440" w:gutter="0" w:footer="0" w:header="0"/>
        </w:sectPr>
      </w:pPr>
    </w:p>
    <w:bookmarkStart w:id="10" w:name="page11"/>
    <w:bookmarkEnd w:id="10"/>
    <w:p>
      <w:pPr>
        <w:ind w:left="567" w:right="740" w:hanging="287"/>
        <w:spacing w:after="0" w:line="267" w:lineRule="auto"/>
        <w:tabs>
          <w:tab w:leader="none" w:pos="56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inability to accurately report our financial results or prevent fraud due to a failure to maintain effective internal control over financial reporting could cause shareholders to lose confidence in our financial and other public reporting.</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our Business, Financial Condition and Capital Requirements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and may incur significant losses in the future.</w:t>
      </w:r>
    </w:p>
    <w:p>
      <w:pPr>
        <w:spacing w:after="0" w:line="191" w:lineRule="exact"/>
        <w:rPr>
          <w:sz w:val="20"/>
          <w:szCs w:val="20"/>
          <w:color w:val="auto"/>
        </w:rPr>
      </w:pPr>
    </w:p>
    <w:p>
      <w:pPr>
        <w:ind w:left="7" w:right="100" w:firstLine="389"/>
        <w:spacing w:after="0" w:line="247" w:lineRule="auto"/>
        <w:rPr>
          <w:sz w:val="20"/>
          <w:szCs w:val="20"/>
          <w:color w:val="auto"/>
        </w:rPr>
      </w:pPr>
      <w:r>
        <w:rPr>
          <w:rFonts w:ascii="Times New Roman" w:cs="Times New Roman" w:eastAsia="Times New Roman" w:hAnsi="Times New Roman"/>
          <w:sz w:val="16"/>
          <w:szCs w:val="16"/>
          <w:color w:val="auto"/>
        </w:rPr>
        <w:t>We are a pre-market pharmaceutical company with a limited operating history. We had no net income prior to the fourth quarter of 2019, when we sold certain assets to Janssen Biotech, Inc. and entered into certain related commercial agreements (the “Janssen Transaction”).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to date, and we continue to incur significant research, development and other expenses related to our ongoing operations. As a result, we incurred losses in every reporting period from our inception in 2005 through the third quarter of 2019. Although we were profitable during the fourth quarter and fiscal year ended December 31, 2019, due to the cash received in the Janssen Transaction, that was an extraordinary transaction outside of normal business operations that had never previously occurred and may not be repeated. We incurred a net loss for the fiscal year ending December 31, 2025.</w:t>
      </w:r>
    </w:p>
    <w:p>
      <w:pPr>
        <w:spacing w:after="0" w:line="166" w:lineRule="exact"/>
        <w:rPr>
          <w:sz w:val="20"/>
          <w:szCs w:val="20"/>
          <w:color w:val="auto"/>
        </w:rPr>
      </w:pPr>
    </w:p>
    <w:p>
      <w:pPr>
        <w:ind w:left="7" w:firstLine="389"/>
        <w:spacing w:after="0" w:line="248" w:lineRule="auto"/>
        <w:rPr>
          <w:sz w:val="20"/>
          <w:szCs w:val="20"/>
          <w:color w:val="auto"/>
        </w:rPr>
      </w:pPr>
      <w:r>
        <w:rPr>
          <w:rFonts w:ascii="Times New Roman" w:cs="Times New Roman" w:eastAsia="Times New Roman" w:hAnsi="Times New Roman"/>
          <w:sz w:val="16"/>
          <w:szCs w:val="16"/>
          <w:color w:val="auto"/>
        </w:rPr>
        <w:t>We expect to continue to incur significant expenses and may incur operating losses for the foreseeable future. We anticipate these expenses will increase as we continue the research and development of and seek regulatory approvals for our current and future product candidates in various indications,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have had, and any future losses may continue to have, an adverse effect on our financial condition. If any of our product candidates fail in clinical trials or do not gain regulatory approval, or if approved fails to achieve market acceptance, we may never sustain profitability.</w:t>
      </w:r>
    </w:p>
    <w:p>
      <w:pPr>
        <w:spacing w:after="0" w:line="166" w:lineRule="exact"/>
        <w:rPr>
          <w:sz w:val="20"/>
          <w:szCs w:val="20"/>
          <w:color w:val="auto"/>
        </w:rPr>
      </w:pPr>
    </w:p>
    <w:p>
      <w:pPr>
        <w:ind w:left="7" w:right="80" w:firstLine="389"/>
        <w:spacing w:after="0" w:line="299" w:lineRule="auto"/>
        <w:rPr>
          <w:sz w:val="20"/>
          <w:szCs w:val="20"/>
          <w:color w:val="auto"/>
        </w:rPr>
      </w:pPr>
      <w:r>
        <w:rPr>
          <w:rFonts w:ascii="Times New Roman" w:cs="Times New Roman" w:eastAsia="Times New Roman" w:hAnsi="Times New Roman"/>
          <w:sz w:val="14"/>
          <w:szCs w:val="14"/>
          <w:color w:val="auto"/>
        </w:rPr>
        <w:t>Since inception, we have dedicated the vast majority of our resources to the discovery and development of our proprietary preclinical and clinical product candidates, and we expect to continue to similarly expend substantial resources for the foreseeable future. These expenditures will include costs associated with conducting research and development, manufacturing product candidates, conducting preclinical experiments and clinical trials and obtaining and maintaining regulatory approvals, as well as commercializing any products later approved for sale. During the year ended December 31, 2025, we recognized approximately $47.4 million in expenses associated with research and development.</w:t>
      </w:r>
    </w:p>
    <w:p>
      <w:pPr>
        <w:spacing w:after="0" w:line="131" w:lineRule="exact"/>
        <w:rPr>
          <w:sz w:val="20"/>
          <w:szCs w:val="20"/>
          <w:color w:val="auto"/>
        </w:rPr>
      </w:pPr>
    </w:p>
    <w:p>
      <w:pPr>
        <w:ind w:left="7" w:right="80" w:firstLine="389"/>
        <w:spacing w:after="0" w:line="248" w:lineRule="auto"/>
        <w:rPr>
          <w:sz w:val="20"/>
          <w:szCs w:val="20"/>
          <w:color w:val="auto"/>
        </w:rPr>
      </w:pPr>
      <w:r>
        <w:rPr>
          <w:rFonts w:ascii="Times New Roman" w:cs="Times New Roman" w:eastAsia="Times New Roman" w:hAnsi="Times New Roman"/>
          <w:sz w:val="16"/>
          <w:szCs w:val="16"/>
          <w:color w:val="auto"/>
        </w:rPr>
        <w:t>We completed our initial public offering on April 15, 2015 and additional registered offerings in March 2017 and May 2019. We also received a significant amount of cash proceeds from the sale of Bermekimab. However, the net proceeds from these transactions and cash on hand may not be sufficient to complete clinical development of any of our product candidates nor may it be sufficient to commercialize any product candidate. In addition, we completed a modified Dutch auction tender offer for our common shares in February 2020 and June 2023, which consumed $420 million and $14 thousand of our cash resources, respectively. We also distributed a $75 million cash dividend to our investors in July 2021. Accordingly, we may require substantial additional capital to continue our clinical development and potential commercialization activities. Our future capital requirements depend on many factors, including but not limited to:</w:t>
      </w:r>
    </w:p>
    <w:p>
      <w:pPr>
        <w:spacing w:after="0" w:line="166" w:lineRule="exact"/>
        <w:rPr>
          <w:sz w:val="20"/>
          <w:szCs w:val="20"/>
          <w:color w:val="auto"/>
        </w:rPr>
      </w:pPr>
    </w:p>
    <w:p>
      <w:pPr>
        <w:ind w:left="427" w:hanging="427"/>
        <w:spacing w:after="0"/>
        <w:tabs>
          <w:tab w:leader="none" w:pos="42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future product candidates we pursue;</w:t>
      </w:r>
    </w:p>
    <w:p>
      <w:pPr>
        <w:spacing w:after="0" w:line="189" w:lineRule="exact"/>
        <w:rPr>
          <w:rFonts w:ascii="Times New Roman" w:cs="Times New Roman" w:eastAsia="Times New Roman" w:hAnsi="Times New Roman"/>
          <w:sz w:val="16"/>
          <w:szCs w:val="16"/>
          <w:color w:val="auto"/>
        </w:rPr>
      </w:pPr>
    </w:p>
    <w:p>
      <w:pPr>
        <w:jc w:val="center"/>
        <w:ind w:left="5547" w:right="880" w:hanging="5547"/>
        <w:spacing w:after="0" w:line="511" w:lineRule="auto"/>
        <w:tabs>
          <w:tab w:leader="none" w:pos="41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researching and developing any of our future product candidates, and conducting preclinical research and clinical trials;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5073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20" w:right="339" w:bottom="1440" w:gutter="0" w:footer="0" w:header="0"/>
        </w:sectPr>
      </w:pPr>
    </w:p>
    <w:bookmarkStart w:id="11" w:name="page12"/>
    <w:bookmarkEnd w:id="11"/>
    <w:p>
      <w:pPr>
        <w:ind w:left="427" w:hanging="427"/>
        <w:spacing w:after="0"/>
        <w:tabs>
          <w:tab w:leader="none" w:pos="42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regulatory approvals for any future product candidates we develop;</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future commercialization activities for our product candidates and the cost of commercializing any future products approved for sale;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our future products;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defending and enforcing patents, including litigation costs and the outcome of any such litigation.</w:t>
      </w:r>
    </w:p>
    <w:p>
      <w:pPr>
        <w:spacing w:after="0" w:line="189" w:lineRule="exact"/>
        <w:rPr>
          <w:sz w:val="20"/>
          <w:szCs w:val="20"/>
          <w:color w:val="auto"/>
        </w:rPr>
      </w:pPr>
    </w:p>
    <w:p>
      <w:pPr>
        <w:ind w:left="7" w:firstLine="389"/>
        <w:spacing w:after="0" w:line="251" w:lineRule="auto"/>
        <w:rPr>
          <w:sz w:val="20"/>
          <w:szCs w:val="20"/>
          <w:color w:val="auto"/>
        </w:rPr>
      </w:pPr>
      <w:r>
        <w:rPr>
          <w:rFonts w:ascii="Times New Roman" w:cs="Times New Roman" w:eastAsia="Times New Roman" w:hAnsi="Times New Roman"/>
          <w:sz w:val="16"/>
          <w:szCs w:val="16"/>
          <w:color w:val="auto"/>
        </w:rPr>
        <w:t>We are unable to accurately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Raising funds in the future may present additional challenges and future financing may not be available in sufficient amounts or on terms acceptable to us, if at all.</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currently have no source of product revenue and may never sustain profitability.</w:t>
      </w:r>
    </w:p>
    <w:p>
      <w:pPr>
        <w:spacing w:after="0" w:line="191" w:lineRule="exact"/>
        <w:rPr>
          <w:sz w:val="20"/>
          <w:szCs w:val="20"/>
          <w:color w:val="auto"/>
        </w:rPr>
      </w:pPr>
    </w:p>
    <w:p>
      <w:pPr>
        <w:ind w:left="7" w:right="20" w:firstLine="389"/>
        <w:spacing w:after="0" w:line="249" w:lineRule="auto"/>
        <w:rPr>
          <w:sz w:val="20"/>
          <w:szCs w:val="20"/>
          <w:color w:val="auto"/>
        </w:rPr>
      </w:pPr>
      <w:r>
        <w:rPr>
          <w:rFonts w:ascii="Times New Roman" w:cs="Times New Roman" w:eastAsia="Times New Roman" w:hAnsi="Times New Roman"/>
          <w:sz w:val="16"/>
          <w:szCs w:val="16"/>
          <w:color w:val="auto"/>
        </w:rPr>
        <w:t>To date, we have not generated any revenue from commercial product sales. Our ability to generate revenue in the future from product sales and achieve profitability will depend upon our ability, alone or with any future collaborators, to commercialize products successfully, including any current product candidates or any product candidates that we may develop, in-license or acquire in the future. Even if we are able to achieve regulatory approval for any current or future product candidates, we do not know when any of these products will generate revenue from product sales, if at all. Our ability to generate revenue from product sales from any of our product candidates also depends on a number of additional factors, including our ability to:</w:t>
      </w:r>
    </w:p>
    <w:p>
      <w:pPr>
        <w:spacing w:after="0" w:line="166" w:lineRule="exact"/>
        <w:rPr>
          <w:sz w:val="20"/>
          <w:szCs w:val="20"/>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development activities, including the necessary clinical trials;</w:t>
      </w:r>
    </w:p>
    <w:p>
      <w:pPr>
        <w:spacing w:after="0" w:line="189" w:lineRule="exact"/>
        <w:rPr>
          <w:rFonts w:ascii="Times New Roman" w:cs="Times New Roman" w:eastAsia="Times New Roman" w:hAnsi="Times New Roman"/>
          <w:sz w:val="16"/>
          <w:szCs w:val="16"/>
          <w:color w:val="auto"/>
        </w:rPr>
      </w:pPr>
    </w:p>
    <w:p>
      <w:pPr>
        <w:ind w:left="427" w:right="60" w:hanging="427"/>
        <w:spacing w:after="0" w:line="267" w:lineRule="auto"/>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and submit new drug applications, or NDAs, to the US Food and Drug Administration, or FDA, and obtain regulatory approval for indications for which there is a commercial market;</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and submit applications to, and obtain regulatory approval from, foreign regulatory authorities such as the European Medicines Agency, or EMA;</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our manufacturing operations;</w:t>
      </w:r>
    </w:p>
    <w:p>
      <w:pPr>
        <w:spacing w:after="0" w:line="189" w:lineRule="exact"/>
        <w:rPr>
          <w:rFonts w:ascii="Times New Roman" w:cs="Times New Roman" w:eastAsia="Times New Roman" w:hAnsi="Times New Roman"/>
          <w:sz w:val="16"/>
          <w:szCs w:val="16"/>
          <w:color w:val="auto"/>
        </w:rPr>
      </w:pPr>
    </w:p>
    <w:p>
      <w:pPr>
        <w:ind w:left="427" w:right="240" w:hanging="427"/>
        <w:spacing w:after="0" w:line="267" w:lineRule="auto"/>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 commercial organization capable of sales, marketing and distribution for our product candidates and any products for which we obtain marketing approval and intend to sell ourselves in the markets in which we choose to commercialize on our own;</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find suitable distribution partners to help us market, sell and distribute our approved products in other markets;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coverage and adequate reimbursement from third-party payers, including government and private payers;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for our products, if any;</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maintain and protect our intellectual property rights;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89"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7"/>
          </w:cols>
          <w:pgMar w:left="313" w:top="520" w:right="399" w:bottom="1440" w:gutter="0" w:footer="0" w:header="0"/>
        </w:sectPr>
      </w:pPr>
    </w:p>
    <w:bookmarkStart w:id="12" w:name="page13"/>
    <w:bookmarkEnd w:id="12"/>
    <w:p>
      <w:pPr>
        <w:ind w:left="7" w:right="120" w:firstLine="389"/>
        <w:spacing w:after="0" w:line="249" w:lineRule="auto"/>
        <w:rPr>
          <w:sz w:val="20"/>
          <w:szCs w:val="20"/>
          <w:color w:val="auto"/>
        </w:rPr>
      </w:pPr>
      <w:r>
        <w:rPr>
          <w:rFonts w:ascii="Times New Roman" w:cs="Times New Roman" w:eastAsia="Times New Roman" w:hAnsi="Times New Roman"/>
          <w:sz w:val="16"/>
          <w:szCs w:val="16"/>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we will be able to sustain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our product candidates, we anticipate incurring significant costs associated with commercializing these products.</w:t>
      </w:r>
    </w:p>
    <w:p>
      <w:pPr>
        <w:spacing w:after="0" w:line="166" w:lineRule="exact"/>
        <w:rPr>
          <w:sz w:val="20"/>
          <w:szCs w:val="20"/>
          <w:color w:val="auto"/>
        </w:rPr>
      </w:pPr>
    </w:p>
    <w:p>
      <w:pPr>
        <w:ind w:left="7" w:right="100" w:firstLine="389"/>
        <w:spacing w:after="0" w:line="255" w:lineRule="auto"/>
        <w:rPr>
          <w:sz w:val="20"/>
          <w:szCs w:val="20"/>
          <w:color w:val="auto"/>
        </w:rPr>
      </w:pPr>
      <w:r>
        <w:rPr>
          <w:rFonts w:ascii="Times New Roman" w:cs="Times New Roman" w:eastAsia="Times New Roman" w:hAnsi="Times New Roman"/>
          <w:sz w:val="16"/>
          <w:szCs w:val="16"/>
          <w:color w:val="auto"/>
        </w:rPr>
        <w:t>Even if we are able to generate revenues from the sale of any of our product candidates that may be approved, we may not become profitable and may need to obtain additional funding to continue operations. If we are unable to sustain profitability on a continuing basis, then we may be unable to continue our operations at planned levels and be forced to reduce our operations.</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is dependent on the regulatory approval and commercialization of our product candidates.</w:t>
      </w:r>
    </w:p>
    <w:p>
      <w:pPr>
        <w:spacing w:after="0" w:line="191" w:lineRule="exact"/>
        <w:rPr>
          <w:sz w:val="20"/>
          <w:szCs w:val="20"/>
          <w:color w:val="auto"/>
        </w:rPr>
      </w:pPr>
    </w:p>
    <w:p>
      <w:pPr>
        <w:ind w:left="7" w:firstLine="389"/>
        <w:spacing w:after="0" w:line="246" w:lineRule="auto"/>
        <w:rPr>
          <w:sz w:val="20"/>
          <w:szCs w:val="20"/>
          <w:color w:val="auto"/>
        </w:rPr>
      </w:pPr>
      <w:r>
        <w:rPr>
          <w:rFonts w:ascii="Times New Roman" w:cs="Times New Roman" w:eastAsia="Times New Roman" w:hAnsi="Times New Roman"/>
          <w:sz w:val="16"/>
          <w:szCs w:val="16"/>
          <w:color w:val="auto"/>
        </w:rPr>
        <w:t>We do not have any products that have gained regulatory approval. As a result, our ability to finance our operations and generate revenue, are substantially dependent on our ability to obtain regulatory approval for, and, if approved, to successfully commercialize our product candidates in a timely manner. We cannot commercialize our other product candidates in the U.S. without first obtaining regulatory approval for each product from the FDA; similarly, we cannot commercialize any product candidates outside of the U.S. without obtaining regulatory approval from comparable foreign regulatory authorities, including the EMA. The FDA review process typically takes years to complete and approval is never guaranteed. Before obtaining regulatory approvals for the commercial sale of any of our potential product candidates for a target indication, we must demonstrate with substantial evidence gathered in preclinical and well-controlled clinical studies, including two well-controlled Phase III studies, and, with respect to approval in the U.S. to the satisfaction of the FDA, and in Europe, to the satisfaction of the EMA, that the product candidate is safe and effective for use for that target indication; and that the manufacturing facilities, processes and controls are adequate. Obtaining regulatory approval for marketing of our current or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168" w:lineRule="exact"/>
        <w:rPr>
          <w:sz w:val="20"/>
          <w:szCs w:val="20"/>
          <w:color w:val="auto"/>
        </w:rPr>
      </w:pPr>
    </w:p>
    <w:p>
      <w:pPr>
        <w:ind w:left="7" w:firstLine="389"/>
        <w:spacing w:after="0" w:line="248" w:lineRule="auto"/>
        <w:rPr>
          <w:sz w:val="20"/>
          <w:szCs w:val="20"/>
          <w:color w:val="auto"/>
        </w:rPr>
      </w:pPr>
      <w:r>
        <w:rPr>
          <w:rFonts w:ascii="Times New Roman" w:cs="Times New Roman" w:eastAsia="Times New Roman" w:hAnsi="Times New Roman"/>
          <w:sz w:val="16"/>
          <w:szCs w:val="16"/>
          <w:color w:val="auto"/>
        </w:rPr>
        <w:t>Even if any of our product candidates were to successfully obtain approval from the FDA or comparable foreign regulatory authorities, any approval might contain significant limitations related to use restrictions for specified age groups, warnings, precautions or contraindications, or may be subject to burdensome post-approval studies or risk management requirements. If we are unable to obtain regulatory approval for our product candidates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our product candidates, once obtained, may be withdrawn. Furthermore, even if we obtain regulatory approval for any of our product candidates, their commercial success will depend on a number of factors, including the following:</w:t>
      </w:r>
    </w:p>
    <w:p>
      <w:pPr>
        <w:spacing w:after="0" w:line="166" w:lineRule="exact"/>
        <w:rPr>
          <w:sz w:val="20"/>
          <w:szCs w:val="20"/>
          <w:color w:val="auto"/>
        </w:rPr>
      </w:pPr>
    </w:p>
    <w:p>
      <w:pPr>
        <w:ind w:left="427" w:hanging="427"/>
        <w:spacing w:after="0"/>
        <w:tabs>
          <w:tab w:leader="none" w:pos="42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a commercial organization within XBiotech or establishment of a commercial collaboration with a commercial infrastructure;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commercially viable pricing and obtaining approval for adequate reimbursement from third-party and government payers;</w:t>
      </w:r>
    </w:p>
    <w:p>
      <w:pPr>
        <w:spacing w:after="0" w:line="189" w:lineRule="exact"/>
        <w:rPr>
          <w:rFonts w:ascii="Times New Roman" w:cs="Times New Roman" w:eastAsia="Times New Roman" w:hAnsi="Times New Roman"/>
          <w:sz w:val="16"/>
          <w:szCs w:val="16"/>
          <w:color w:val="auto"/>
        </w:rPr>
      </w:pPr>
    </w:p>
    <w:p>
      <w:pPr>
        <w:ind w:left="427" w:right="120" w:hanging="427"/>
        <w:spacing w:after="0" w:line="267" w:lineRule="auto"/>
        <w:tabs>
          <w:tab w:leader="none" w:pos="42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quantities of our product candidates using commercially satisfactory processes and at a scale sufficient to meet anticipated demand and enable us to reduce our cost of manufacturing;</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educating physicians and patients about the benefits, administration and use of our product candidates;</w:t>
      </w:r>
    </w:p>
    <w:p>
      <w:pPr>
        <w:spacing w:after="0" w:line="18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7"/>
          </w:cols>
          <w:pgMar w:left="313" w:top="520" w:right="359" w:bottom="1440" w:gutter="0" w:footer="0" w:header="0"/>
        </w:sectPr>
      </w:pPr>
    </w:p>
    <w:bookmarkStart w:id="13" w:name="page14"/>
    <w:bookmarkEnd w:id="13"/>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perceived advantages, relative cost, relative safety and relative efficacy of alternative and competing treatments;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own or our potential strategic collaborators’ marketing, sales and distribution strategy and operations;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as a safe and effective therapy by patients and the medical community;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acceptable safety profile following approval.</w:t>
      </w:r>
    </w:p>
    <w:p>
      <w:pPr>
        <w:spacing w:after="0" w:line="189" w:lineRule="exact"/>
        <w:rPr>
          <w:sz w:val="20"/>
          <w:szCs w:val="20"/>
          <w:color w:val="auto"/>
        </w:rPr>
      </w:pPr>
    </w:p>
    <w:p>
      <w:pPr>
        <w:ind w:left="7" w:right="420" w:firstLine="389"/>
        <w:spacing w:after="0" w:line="267" w:lineRule="auto"/>
        <w:rPr>
          <w:sz w:val="20"/>
          <w:szCs w:val="20"/>
          <w:color w:val="auto"/>
        </w:rPr>
      </w:pPr>
      <w:r>
        <w:rPr>
          <w:rFonts w:ascii="Times New Roman" w:cs="Times New Roman" w:eastAsia="Times New Roman" w:hAnsi="Times New Roman"/>
          <w:sz w:val="16"/>
          <w:szCs w:val="16"/>
          <w:color w:val="auto"/>
        </w:rPr>
        <w:t>Many of these factors are beyond our control. If we are unable to successfully commercialize our product candidates, we may not be able to earn sufficient revenues to continue our business.</w:t>
      </w:r>
    </w:p>
    <w:p>
      <w:pPr>
        <w:spacing w:after="0" w:line="149" w:lineRule="exact"/>
        <w:rPr>
          <w:sz w:val="20"/>
          <w:szCs w:val="20"/>
          <w:color w:val="auto"/>
        </w:rPr>
      </w:pPr>
    </w:p>
    <w:p>
      <w:pPr>
        <w:ind w:left="7" w:right="280" w:firstLine="38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New laws or regulations may be promulgated or modified in the United States, in Europe, or other jurisdictions that could impact our ability to receive the necessary approvals to successfully market and commercialize our product candidates.</w:t>
      </w:r>
    </w:p>
    <w:p>
      <w:pPr>
        <w:spacing w:after="0" w:line="148" w:lineRule="exact"/>
        <w:rPr>
          <w:sz w:val="20"/>
          <w:szCs w:val="20"/>
          <w:color w:val="auto"/>
        </w:rPr>
      </w:pPr>
    </w:p>
    <w:p>
      <w:pPr>
        <w:ind w:left="7" w:right="60" w:firstLine="389"/>
        <w:spacing w:after="0" w:line="247" w:lineRule="auto"/>
        <w:rPr>
          <w:sz w:val="20"/>
          <w:szCs w:val="20"/>
          <w:color w:val="auto"/>
        </w:rPr>
      </w:pPr>
      <w:r>
        <w:rPr>
          <w:rFonts w:ascii="Times New Roman" w:cs="Times New Roman" w:eastAsia="Times New Roman" w:hAnsi="Times New Roman"/>
          <w:sz w:val="16"/>
          <w:szCs w:val="16"/>
          <w:color w:val="auto"/>
        </w:rPr>
        <w:t>The pharmaceutical and biotechnology industry is one of the most regulated industries on a state, federal and international level. There are numberous laws, regulations, and court decisions which impact the daily activities of our business. As a result, we must ensure that strategies and planning in relation to our product candidates are in line with the current regulations governing our industry. When there are changes in leadership, whether within the U.S., or elsewhere, we must anticipate the possibility of shifts in regulatory policies as they pertain to our business. New or modified regulations may impact our ability to quickly respond with updates to our programs. While we may be able to anticipate certain changes, policy statements often are not always translated into actionable legislation. We continue to track updates and changes internally to ensure we are in compliance with regulatory authority guidelines and expectations. Court decisions at both the state and federal level can also impact the way in which we operate and make specific product related program decisions. New laws, regulations, or court orders could materially alter or impact our ability to receive necessary approvals from regulatory authorities to market and commercialize our product candidates.</w:t>
      </w:r>
    </w:p>
    <w:p>
      <w:pPr>
        <w:spacing w:after="0" w:line="164" w:lineRule="exact"/>
        <w:rPr>
          <w:sz w:val="20"/>
          <w:szCs w:val="20"/>
          <w:color w:val="auto"/>
        </w:rPr>
      </w:pPr>
    </w:p>
    <w:p>
      <w:pPr>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Because the results of earlier clinical trials are not necessarily predictive of future results, product candidates we advance into clinical trials, may not have favorable results in later clinical trials or receive regulatory approval.</w:t>
      </w:r>
    </w:p>
    <w:p>
      <w:pPr>
        <w:spacing w:after="0" w:line="148" w:lineRule="exact"/>
        <w:rPr>
          <w:sz w:val="20"/>
          <w:szCs w:val="20"/>
          <w:color w:val="auto"/>
        </w:rPr>
      </w:pPr>
    </w:p>
    <w:p>
      <w:pPr>
        <w:ind w:left="7" w:firstLine="389"/>
        <w:spacing w:after="0" w:line="247" w:lineRule="auto"/>
        <w:rPr>
          <w:sz w:val="20"/>
          <w:szCs w:val="20"/>
          <w:color w:val="auto"/>
        </w:rPr>
      </w:pPr>
      <w:r>
        <w:rPr>
          <w:rFonts w:ascii="Times New Roman" w:cs="Times New Roman" w:eastAsia="Times New Roman" w:hAnsi="Times New Roman"/>
          <w:sz w:val="16"/>
          <w:szCs w:val="16"/>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We have also experienced prior setbacks in clinical trials and cannot assure that future clinical outcomes will demonstrate adequate efficacy and safety to justify further development efforts or to result in regulatory approval to market any of our product candidates in any particular jurisdiction. Even if we believe that we have adequate data to support an application for regulatory approval to market our product candidates, the FDA or other comparable foreign regulatory authorities may not agree and could require us to conduct additional research studies, including late-stage clinical trials. If late-stage clinical trials do not produce favorable results, our ability to achieve regulatory approval for any of our product candidates may be adversely impacted.</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enroll subjects in clinical trials, we will be unable to complete these trials on a timely basis.</w:t>
      </w:r>
    </w:p>
    <w:p>
      <w:pPr>
        <w:spacing w:after="0" w:line="191" w:lineRule="exact"/>
        <w:rPr>
          <w:sz w:val="20"/>
          <w:szCs w:val="20"/>
          <w:color w:val="auto"/>
        </w:rPr>
      </w:pPr>
    </w:p>
    <w:p>
      <w:pPr>
        <w:ind w:left="7" w:firstLine="389"/>
        <w:spacing w:after="0" w:line="288" w:lineRule="auto"/>
        <w:rPr>
          <w:sz w:val="20"/>
          <w:szCs w:val="20"/>
          <w:color w:val="auto"/>
        </w:rPr>
      </w:pPr>
      <w:r>
        <w:rPr>
          <w:rFonts w:ascii="Times New Roman" w:cs="Times New Roman" w:eastAsia="Times New Roman" w:hAnsi="Times New Roman"/>
          <w:sz w:val="14"/>
          <w:szCs w:val="14"/>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trial sites to ensure the proper and timely conduct of our clinical trials, and while we have agreements governing their committed activities, we have limited influence over their actual, day-to-day performance. We have experience of previous difficulties with clinical sites and patient enrollment and cannot assure that such difficulties will not occur in future clinical trials. We may experience delays in starting-up clinical trial sites in a timely manner, enrolling subjects in our trials, and may not be able to enroll a sufficient number of subjects to complete the trials.</w:t>
      </w:r>
    </w:p>
    <w:p>
      <w:pPr>
        <w:spacing w:after="0" w:line="141"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7"/>
          </w:cols>
          <w:pgMar w:left="313" w:top="520" w:right="399" w:bottom="1440" w:gutter="0" w:footer="0" w:header="0"/>
        </w:sectPr>
      </w:pPr>
    </w:p>
    <w:bookmarkStart w:id="14" w:name="page15"/>
    <w:bookmarkEnd w:id="14"/>
    <w:p>
      <w:pPr>
        <w:ind w:left="7" w:firstLine="389"/>
        <w:spacing w:after="0" w:line="290" w:lineRule="auto"/>
        <w:rPr>
          <w:sz w:val="20"/>
          <w:szCs w:val="20"/>
          <w:color w:val="auto"/>
        </w:rPr>
      </w:pPr>
      <w:r>
        <w:rPr>
          <w:rFonts w:ascii="Times New Roman" w:cs="Times New Roman" w:eastAsia="Times New Roman" w:hAnsi="Times New Roman"/>
          <w:sz w:val="14"/>
          <w:szCs w:val="14"/>
          <w:color w:val="auto"/>
        </w:rPr>
        <w:t>If we experience delays in the completion or if there is termination of, any clinical trial of any current or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our product candidates.</w:t>
      </w:r>
    </w:p>
    <w:p>
      <w:pPr>
        <w:spacing w:after="0" w:line="138" w:lineRule="exact"/>
        <w:rPr>
          <w:sz w:val="20"/>
          <w:szCs w:val="20"/>
          <w:color w:val="auto"/>
        </w:rPr>
      </w:pPr>
    </w:p>
    <w:p>
      <w:pPr>
        <w:ind w:left="7" w:right="6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may fail.</w:t>
      </w:r>
    </w:p>
    <w:p>
      <w:pPr>
        <w:spacing w:after="0" w:line="148" w:lineRule="exact"/>
        <w:rPr>
          <w:sz w:val="20"/>
          <w:szCs w:val="20"/>
          <w:color w:val="auto"/>
        </w:rPr>
      </w:pPr>
    </w:p>
    <w:p>
      <w:pPr>
        <w:ind w:left="7" w:right="100" w:firstLine="389"/>
        <w:spacing w:after="0" w:line="249" w:lineRule="auto"/>
        <w:rPr>
          <w:sz w:val="20"/>
          <w:szCs w:val="20"/>
          <w:color w:val="auto"/>
        </w:rPr>
      </w:pPr>
      <w:r>
        <w:rPr>
          <w:rFonts w:ascii="Times New Roman" w:cs="Times New Roman" w:eastAsia="Times New Roman" w:hAnsi="Times New Roman"/>
          <w:sz w:val="16"/>
          <w:szCs w:val="16"/>
          <w:color w:val="auto"/>
        </w:rPr>
        <w:t>The time required to obtain approval by the FDA and comparable foreign regulatory authorities is unpredictable, but typically takes several years following the commencement of preclinical studies and clinical trials and depends upon numerous factors, including the substantial discretion of the regulatory authorities and any shifts in regulatory policy.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the product candidates we are developing or may discover, in-license or acquire and seek to develop in the future will ever obtain regulatory approval.</w:t>
      </w:r>
    </w:p>
    <w:p>
      <w:pPr>
        <w:spacing w:after="0" w:line="166"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4"/>
          <w:szCs w:val="14"/>
          <w:color w:val="auto"/>
        </w:rPr>
        <w:t>Our product candidates could fail to receive marketing approval from the FDA or a comparable foreign regulatory authority for many reasons, including but not limited to:</w:t>
      </w:r>
    </w:p>
    <w:p>
      <w:pPr>
        <w:spacing w:after="0" w:line="212" w:lineRule="exact"/>
        <w:rPr>
          <w:sz w:val="20"/>
          <w:szCs w:val="20"/>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over the design or implementation of our clinical trials;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that a product candidate is safe and effective;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clinical trials to meet the level of statistical significance required for approval;</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that a product candidate’s clinical and other benefits outweigh its safety risks;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over our interpretation of data from preclinical studies or clinical trials;</w:t>
      </w:r>
    </w:p>
    <w:p>
      <w:pPr>
        <w:spacing w:after="0" w:line="189" w:lineRule="exact"/>
        <w:rPr>
          <w:rFonts w:ascii="Times New Roman" w:cs="Times New Roman" w:eastAsia="Times New Roman" w:hAnsi="Times New Roman"/>
          <w:sz w:val="16"/>
          <w:szCs w:val="16"/>
          <w:color w:val="auto"/>
        </w:rPr>
      </w:pPr>
    </w:p>
    <w:p>
      <w:pPr>
        <w:ind w:left="427" w:right="460" w:hanging="427"/>
        <w:spacing w:after="0" w:line="267" w:lineRule="auto"/>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over whether to accept efficacy results from clinical trial sites outside the United States where the standard of care is potentially different from that in the United States;</w:t>
      </w:r>
    </w:p>
    <w:p>
      <w:pPr>
        <w:spacing w:after="0" w:line="150" w:lineRule="exact"/>
        <w:rPr>
          <w:rFonts w:ascii="Times New Roman" w:cs="Times New Roman" w:eastAsia="Times New Roman" w:hAnsi="Times New Roman"/>
          <w:sz w:val="16"/>
          <w:szCs w:val="16"/>
          <w:color w:val="auto"/>
        </w:rPr>
      </w:pPr>
    </w:p>
    <w:p>
      <w:pPr>
        <w:ind w:left="427" w:right="220" w:hanging="427"/>
        <w:spacing w:after="0" w:line="267" w:lineRule="auto"/>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insufficiency of data collected from clinical trials of our product candidates to support the submission and filing of an NDA or other submission or to obtain regulatory approval;</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irreparable or critical compliance issues relating to our manufacturing and/clinical trial processes; or</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approval policies or regulations that render our preclinical and clinical data insufficient for approval.</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520" w:right="319" w:bottom="1440" w:gutter="0" w:footer="0" w:header="0"/>
        </w:sectPr>
      </w:pPr>
    </w:p>
    <w:bookmarkStart w:id="15" w:name="page16"/>
    <w:bookmarkEnd w:id="15"/>
    <w:p>
      <w:pPr>
        <w:ind w:left="7" w:firstLine="389"/>
        <w:spacing w:after="0" w:line="247" w:lineRule="auto"/>
        <w:rPr>
          <w:sz w:val="20"/>
          <w:szCs w:val="20"/>
          <w:color w:val="auto"/>
        </w:rPr>
      </w:pPr>
      <w:r>
        <w:rPr>
          <w:rFonts w:ascii="Times New Roman" w:cs="Times New Roman" w:eastAsia="Times New Roman" w:hAnsi="Times New Roman"/>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any of our product candidates produce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Any of the foregoing scenarios could materially harm the commercial prospects for our product candidates.</w:t>
      </w:r>
    </w:p>
    <w:p>
      <w:pPr>
        <w:spacing w:after="0" w:line="168" w:lineRule="exact"/>
        <w:rPr>
          <w:sz w:val="20"/>
          <w:szCs w:val="20"/>
          <w:color w:val="auto"/>
        </w:rPr>
      </w:pPr>
    </w:p>
    <w:p>
      <w:pPr>
        <w:ind w:left="7" w:firstLine="389"/>
        <w:spacing w:after="0" w:line="293" w:lineRule="auto"/>
        <w:rPr>
          <w:sz w:val="20"/>
          <w:szCs w:val="20"/>
          <w:color w:val="auto"/>
        </w:rPr>
      </w:pPr>
      <w:r>
        <w:rPr>
          <w:rFonts w:ascii="Times New Roman" w:cs="Times New Roman" w:eastAsia="Times New Roman" w:hAnsi="Times New Roman"/>
          <w:sz w:val="14"/>
          <w:szCs w:val="14"/>
          <w:color w:val="auto"/>
        </w:rPr>
        <w:t>Even if we believe any completed, current or planned clinical trials are successful, the FDA or a comparable foreign regulatory authority may not agree that our completed clinical trials provide adequate data on the safety or efficacy of our product candidates, permitting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impact on the regulatory process in others. We may not be able to file for regulatory approvals, and even if we file, we may not receive the necessary approvals to commercialize our products in any market.</w:t>
      </w:r>
    </w:p>
    <w:p>
      <w:pPr>
        <w:spacing w:after="0" w:line="136" w:lineRule="exact"/>
        <w:rPr>
          <w:sz w:val="20"/>
          <w:szCs w:val="20"/>
          <w:color w:val="auto"/>
        </w:rPr>
      </w:pPr>
    </w:p>
    <w:p>
      <w:pPr>
        <w:ind w:left="7" w:right="3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48" w:lineRule="exact"/>
        <w:rPr>
          <w:sz w:val="20"/>
          <w:szCs w:val="20"/>
          <w:color w:val="auto"/>
        </w:rPr>
      </w:pPr>
    </w:p>
    <w:p>
      <w:pPr>
        <w:ind w:left="7" w:firstLine="389"/>
        <w:spacing w:after="0" w:line="245"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the discontinuation of further development of our product candidates, which would impair our ability to generate revenues and would have a material adverse effect our business, results of operations, financial condition and cash flows and future prospects. There can be no assurance that side effects from our product candidates in future clinical trials or that side effects in general will not prompt the discontinued development or possible market approval of our product candidates. If serious side effects or other safety or toxicity issues are experienced in our clinical trials in the future, we may not receive approval to market any of our product candidates, which could prevent us from ever generating revenues from commercial product sales or sustaining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75" w:lineRule="exact"/>
        <w:rPr>
          <w:sz w:val="20"/>
          <w:szCs w:val="20"/>
          <w:color w:val="auto"/>
        </w:rPr>
      </w:pPr>
    </w:p>
    <w:p>
      <w:pPr>
        <w:ind w:left="7" w:right="460" w:firstLine="389"/>
        <w:spacing w:after="0" w:line="267" w:lineRule="auto"/>
        <w:rPr>
          <w:sz w:val="20"/>
          <w:szCs w:val="20"/>
          <w:color w:val="auto"/>
        </w:rPr>
      </w:pPr>
      <w:r>
        <w:rPr>
          <w:rFonts w:ascii="Times New Roman" w:cs="Times New Roman" w:eastAsia="Times New Roman" w:hAnsi="Times New Roman"/>
          <w:sz w:val="16"/>
          <w:szCs w:val="16"/>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51" w:lineRule="exact"/>
        <w:rPr>
          <w:sz w:val="20"/>
          <w:szCs w:val="20"/>
          <w:color w:val="auto"/>
        </w:rPr>
      </w:pPr>
    </w:p>
    <w:p>
      <w:pPr>
        <w:ind w:left="427" w:hanging="427"/>
        <w:spacing w:after="0"/>
        <w:tabs>
          <w:tab w:leader="none" w:pos="4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forced to suspend marketing of such product;</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their approvals of such product;</w:t>
      </w:r>
    </w:p>
    <w:p>
      <w:pPr>
        <w:spacing w:after="0" w:line="189" w:lineRule="exact"/>
        <w:rPr>
          <w:rFonts w:ascii="Times New Roman" w:cs="Times New Roman" w:eastAsia="Times New Roman" w:hAnsi="Times New Roman"/>
          <w:sz w:val="16"/>
          <w:szCs w:val="16"/>
          <w:color w:val="auto"/>
        </w:rPr>
      </w:pPr>
    </w:p>
    <w:p>
      <w:pPr>
        <w:ind w:left="5547" w:right="1100" w:hanging="5547"/>
        <w:spacing w:after="0" w:line="511" w:lineRule="auto"/>
        <w:tabs>
          <w:tab w:leader="none" w:pos="41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additional warnings on the label that could diminish the usage or otherwise limit the commercial success of such product;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5073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20" w:right="339" w:bottom="1440" w:gutter="0" w:footer="0" w:header="0"/>
        </w:sectPr>
      </w:pPr>
    </w:p>
    <w:bookmarkStart w:id="16" w:name="page17"/>
    <w:bookmarkEnd w:id="16"/>
    <w:p>
      <w:pPr>
        <w:ind w:left="427" w:hanging="427"/>
        <w:spacing w:after="0"/>
        <w:tabs>
          <w:tab w:leader="none" w:pos="42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regulatory bodies may issue safety alerts, Dear Healthcare Provider letters, press releases or other communications containing warnings about such product;</w:t>
      </w:r>
    </w:p>
    <w:p>
      <w:pPr>
        <w:spacing w:after="0" w:line="212" w:lineRule="exact"/>
        <w:rPr>
          <w:rFonts w:ascii="Times New Roman" w:cs="Times New Roman" w:eastAsia="Times New Roman" w:hAnsi="Times New Roman"/>
          <w:sz w:val="14"/>
          <w:szCs w:val="14"/>
          <w:color w:val="auto"/>
        </w:rPr>
      </w:pPr>
    </w:p>
    <w:p>
      <w:pPr>
        <w:ind w:left="427" w:right="260" w:hanging="427"/>
        <w:spacing w:after="0" w:line="267" w:lineRule="auto"/>
        <w:tabs>
          <w:tab w:leader="none" w:pos="42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change the way the product is administered or conduct additional clinical trials;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subjects or patients;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litigation or product liability claims;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w:t>
      </w:r>
    </w:p>
    <w:p>
      <w:pPr>
        <w:spacing w:after="0" w:line="189"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particular product candidate, if approved.</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Even if our product candidates receive regulatory approval, they may still face future challenges, including ongoing regulatory oversight and marketing challenges.</w:t>
      </w:r>
    </w:p>
    <w:p>
      <w:pPr>
        <w:spacing w:after="0" w:line="191" w:lineRule="exact"/>
        <w:rPr>
          <w:sz w:val="20"/>
          <w:szCs w:val="20"/>
          <w:color w:val="auto"/>
        </w:rPr>
      </w:pPr>
    </w:p>
    <w:p>
      <w:pPr>
        <w:ind w:left="7" w:right="140" w:firstLine="389"/>
        <w:spacing w:after="0" w:line="247" w:lineRule="auto"/>
        <w:rPr>
          <w:sz w:val="20"/>
          <w:szCs w:val="20"/>
          <w:color w:val="auto"/>
        </w:rPr>
      </w:pPr>
      <w:r>
        <w:rPr>
          <w:rFonts w:ascii="Times New Roman" w:cs="Times New Roman" w:eastAsia="Times New Roman" w:hAnsi="Times New Roman"/>
          <w:sz w:val="16"/>
          <w:szCs w:val="16"/>
          <w:color w:val="auto"/>
        </w:rPr>
        <w:t>Even if we obtain regulatory approval for any of our product candidates,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any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any product candidate, if it achieves marketing approval, may include restrictions on use.</w:t>
      </w:r>
    </w:p>
    <w:p>
      <w:pPr>
        <w:spacing w:after="0" w:line="168" w:lineRule="exact"/>
        <w:rPr>
          <w:sz w:val="20"/>
          <w:szCs w:val="20"/>
          <w:color w:val="auto"/>
        </w:rPr>
      </w:pPr>
    </w:p>
    <w:p>
      <w:pPr>
        <w:ind w:left="7" w:firstLine="389"/>
        <w:spacing w:after="0" w:line="249" w:lineRule="auto"/>
        <w:rPr>
          <w:sz w:val="20"/>
          <w:szCs w:val="20"/>
          <w:color w:val="auto"/>
        </w:rPr>
      </w:pPr>
      <w:r>
        <w:rPr>
          <w:rFonts w:ascii="Times New Roman" w:cs="Times New Roman" w:eastAsia="Times New Roman" w:hAnsi="Times New Roman"/>
          <w:sz w:val="16"/>
          <w:szCs w:val="16"/>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166" w:lineRule="exact"/>
        <w:rPr>
          <w:sz w:val="20"/>
          <w:szCs w:val="20"/>
          <w:color w:val="auto"/>
        </w:rPr>
      </w:pPr>
    </w:p>
    <w:p>
      <w:pPr>
        <w:ind w:left="427" w:hanging="427"/>
        <w:spacing w:after="0"/>
        <w:tabs>
          <w:tab w:leader="none" w:pos="4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warning letters or untitled letters;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restrictions on the marketing or manufacturing of the product candidates;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 modifications to promotional materials or require us to provide corrective information to healthcare practitioners;</w:t>
      </w:r>
    </w:p>
    <w:p>
      <w:pPr>
        <w:spacing w:after="0" w:line="189" w:lineRule="exact"/>
        <w:rPr>
          <w:rFonts w:ascii="Times New Roman" w:cs="Times New Roman" w:eastAsia="Times New Roman" w:hAnsi="Times New Roman"/>
          <w:sz w:val="16"/>
          <w:szCs w:val="16"/>
          <w:color w:val="auto"/>
        </w:rPr>
      </w:pPr>
    </w:p>
    <w:p>
      <w:pPr>
        <w:ind w:left="427" w:right="20" w:hanging="427"/>
        <w:spacing w:after="0" w:line="267" w:lineRule="auto"/>
        <w:tabs>
          <w:tab w:leader="none" w:pos="4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an injunction or impose civil or criminal penalties or monetary fines;</w:t>
      </w:r>
    </w:p>
    <w:p>
      <w:pPr>
        <w:spacing w:after="0" w:line="18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7"/>
          </w:cols>
          <w:pgMar w:left="313" w:top="520" w:right="359" w:bottom="1440" w:gutter="0" w:footer="0" w:header="0"/>
        </w:sectPr>
      </w:pPr>
    </w:p>
    <w:bookmarkStart w:id="17" w:name="page18"/>
    <w:bookmarkEnd w:id="17"/>
    <w:p>
      <w:pPr>
        <w:ind w:left="427" w:hanging="427"/>
        <w:spacing w:after="0"/>
        <w:tabs>
          <w:tab w:leader="none" w:pos="4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or withdraw regulatory approval;</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any ongoing clinical trials;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refuse to approve pending applications or supplements to applications filed by us;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or impose restrictions on operations, including costly new manufacturing requirements; or</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seize or detain products, refuse to permit the import or export of products, or require us to initiate a product recall.</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occurrence of any event or penalty described above may inhibit our ability to commercialize our product candidates and generate revenue.</w:t>
      </w:r>
    </w:p>
    <w:p>
      <w:pPr>
        <w:spacing w:after="0" w:line="189" w:lineRule="exact"/>
        <w:rPr>
          <w:sz w:val="20"/>
          <w:szCs w:val="20"/>
          <w:color w:val="auto"/>
        </w:rPr>
      </w:pPr>
    </w:p>
    <w:p>
      <w:pPr>
        <w:ind w:left="7" w:right="20" w:firstLine="389"/>
        <w:spacing w:after="0" w:line="248" w:lineRule="auto"/>
        <w:rPr>
          <w:sz w:val="20"/>
          <w:szCs w:val="20"/>
          <w:color w:val="auto"/>
        </w:rPr>
      </w:pPr>
      <w:r>
        <w:rPr>
          <w:rFonts w:ascii="Times New Roman" w:cs="Times New Roman" w:eastAsia="Times New Roman" w:hAnsi="Times New Roman"/>
          <w:sz w:val="16"/>
          <w:szCs w:val="16"/>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U.S., and is covered by federal insurance programs such as Medicare or Medicaid, will be heavily scrutinized by the FDA, the Department of Justice, (DOJ), the Office of Inspector General of the Department of Health and Human Services,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U.S. will be heavily scrutinized by comparable foreign regulatory authorities.</w:t>
      </w:r>
    </w:p>
    <w:p>
      <w:pPr>
        <w:spacing w:after="0" w:line="166" w:lineRule="exact"/>
        <w:rPr>
          <w:sz w:val="20"/>
          <w:szCs w:val="20"/>
          <w:color w:val="auto"/>
        </w:rPr>
      </w:pPr>
    </w:p>
    <w:p>
      <w:pPr>
        <w:ind w:left="7" w:firstLine="389"/>
        <w:spacing w:after="0" w:line="246" w:lineRule="auto"/>
        <w:rPr>
          <w:sz w:val="20"/>
          <w:szCs w:val="20"/>
          <w:color w:val="auto"/>
        </w:rPr>
      </w:pPr>
      <w:r>
        <w:rPr>
          <w:rFonts w:ascii="Times New Roman" w:cs="Times New Roman" w:eastAsia="Times New Roman" w:hAnsi="Times New Roman"/>
          <w:sz w:val="16"/>
          <w:szCs w:val="16"/>
          <w:color w:val="auto"/>
        </w:rPr>
        <w:t>In the U.S., engaging in impermissible promotion of our future products for off-label uses can also subject us to false claims litigation under federal and state statutes, which can lead to civil, criminal and/or administrative penalties and fines and corporate integrity agreements that materially restrict the manner in which we promote or distribute our drug products. The federal False Claims Act,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claims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are not successful in defending against such actions, those actions could have a material adverse effect on our business, results of operations, financial condition and cash flows and future prospects.</w:t>
      </w:r>
    </w:p>
    <w:p>
      <w:pPr>
        <w:spacing w:after="0" w:line="168" w:lineRule="exact"/>
        <w:rPr>
          <w:sz w:val="20"/>
          <w:szCs w:val="20"/>
          <w:color w:val="auto"/>
        </w:rPr>
      </w:pPr>
    </w:p>
    <w:p>
      <w:pPr>
        <w:ind w:left="7" w:right="120" w:firstLine="389"/>
        <w:spacing w:after="0" w:line="251" w:lineRule="auto"/>
        <w:rPr>
          <w:sz w:val="20"/>
          <w:szCs w:val="20"/>
          <w:color w:val="auto"/>
        </w:rPr>
      </w:pPr>
      <w:r>
        <w:rPr>
          <w:rFonts w:ascii="Times New Roman" w:cs="Times New Roman" w:eastAsia="Times New Roman" w:hAnsi="Times New Roman"/>
          <w:sz w:val="16"/>
          <w:szCs w:val="16"/>
          <w:color w:val="auto"/>
        </w:rPr>
        <w:t>Existing government regulations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sustain profitability.</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regulatory approval in foreign jurisdictions would prevent our product candidates from being marketed in those jurisdictions.</w:t>
      </w:r>
    </w:p>
    <w:p>
      <w:pPr>
        <w:spacing w:after="0" w:line="191" w:lineRule="exact"/>
        <w:rPr>
          <w:sz w:val="20"/>
          <w:szCs w:val="20"/>
          <w:color w:val="auto"/>
        </w:rPr>
      </w:pPr>
    </w:p>
    <w:p>
      <w:pPr>
        <w:jc w:val="both"/>
        <w:ind w:left="7" w:right="140" w:firstLine="389"/>
        <w:spacing w:after="0" w:line="286" w:lineRule="auto"/>
        <w:rPr>
          <w:sz w:val="20"/>
          <w:szCs w:val="20"/>
          <w:color w:val="auto"/>
        </w:rPr>
      </w:pPr>
      <w:r>
        <w:rPr>
          <w:rFonts w:ascii="Times New Roman" w:cs="Times New Roman" w:eastAsia="Times New Roman" w:hAnsi="Times New Roman"/>
          <w:sz w:val="14"/>
          <w:szCs w:val="14"/>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w:t>
      </w:r>
    </w:p>
    <w:p>
      <w:pPr>
        <w:spacing w:after="0" w:line="1" w:lineRule="exact"/>
        <w:rPr>
          <w:sz w:val="20"/>
          <w:szCs w:val="20"/>
          <w:color w:val="auto"/>
        </w:rPr>
      </w:pPr>
    </w:p>
    <w:p>
      <w:pPr>
        <w:ind w:left="7"/>
        <w:spacing w:after="0" w:line="244" w:lineRule="auto"/>
        <w:rPr>
          <w:sz w:val="20"/>
          <w:szCs w:val="20"/>
          <w:color w:val="auto"/>
        </w:rPr>
      </w:pPr>
      <w:r>
        <w:rPr>
          <w:rFonts w:ascii="Times New Roman" w:cs="Times New Roman" w:eastAsia="Times New Roman" w:hAnsi="Times New Roman"/>
          <w:sz w:val="16"/>
          <w:szCs w:val="16"/>
          <w:color w:val="auto"/>
        </w:rPr>
        <w:t>Additionally, in many countries outside the U.S.,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any of our product candidates by regulatory authorities in the European Union or another jurisdiction, the commercial prospects of that product candidate may be significantly diminished and our business prospects could decline.</w:t>
      </w:r>
    </w:p>
    <w:p>
      <w:pPr>
        <w:spacing w:after="0" w:line="168"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7"/>
          </w:cols>
          <w:pgMar w:left="313" w:top="520" w:right="379" w:bottom="1440" w:gutter="0" w:footer="0" w:header="0"/>
        </w:sectPr>
      </w:pPr>
    </w:p>
    <w:bookmarkStart w:id="18" w:name="page19"/>
    <w:bookmarkEnd w:id="18"/>
    <w:p>
      <w:pPr>
        <w:ind w:right="1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our product candidates, the products may not receive coverage and adequate reimbursement from third-party payers, which could harm our business.</w:t>
      </w:r>
    </w:p>
    <w:p>
      <w:pPr>
        <w:spacing w:after="0" w:line="148" w:lineRule="exact"/>
        <w:rPr>
          <w:sz w:val="20"/>
          <w:szCs w:val="20"/>
          <w:color w:val="auto"/>
        </w:rPr>
      </w:pPr>
    </w:p>
    <w:p>
      <w:pPr>
        <w:ind w:firstLine="389"/>
        <w:spacing w:after="0" w:line="284" w:lineRule="auto"/>
        <w:rPr>
          <w:sz w:val="20"/>
          <w:szCs w:val="20"/>
          <w:color w:val="auto"/>
        </w:rPr>
      </w:pPr>
      <w:r>
        <w:rPr>
          <w:rFonts w:ascii="Times New Roman" w:cs="Times New Roman" w:eastAsia="Times New Roman" w:hAnsi="Times New Roman"/>
          <w:sz w:val="14"/>
          <w:szCs w:val="14"/>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payers. Patients who are prescribed medications for the treatment of their conditions generally rely on third-party payers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Third-party payers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332" w:lineRule="exact"/>
        <w:rPr>
          <w:sz w:val="20"/>
          <w:szCs w:val="20"/>
          <w:color w:val="auto"/>
        </w:rPr>
      </w:pPr>
    </w:p>
    <w:p>
      <w:pPr>
        <w:ind w:right="20" w:firstLine="389"/>
        <w:spacing w:after="0" w:line="285"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be insufficient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Coverage and reimbursement for drug products can differ significantly from payer to payer. As a result, the coverage and reimbursement determination process is often a time-consuming and costly process with no assurance that coverage and adequate reimbursement will be obtained or applied consistently. Third-party payers often rely upon Medicare coverage policy and payment limitations in setting their own coverage and reimbursement policies. Our inability to promptly obtain coverage and profitable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9" w:name="page20"/>
    <w:bookmarkEnd w:id="19"/>
    <w:p>
      <w:pPr>
        <w:ind w:left="7" w:right="2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48" w:lineRule="exact"/>
        <w:rPr>
          <w:sz w:val="20"/>
          <w:szCs w:val="20"/>
          <w:color w:val="auto"/>
        </w:rPr>
      </w:pPr>
    </w:p>
    <w:p>
      <w:pPr>
        <w:ind w:left="7" w:firstLine="389"/>
        <w:spacing w:after="0" w:line="247" w:lineRule="auto"/>
        <w:rPr>
          <w:sz w:val="20"/>
          <w:szCs w:val="20"/>
          <w:color w:val="auto"/>
        </w:rPr>
      </w:pPr>
      <w:r>
        <w:rPr>
          <w:rFonts w:ascii="Times New Roman" w:cs="Times New Roman" w:eastAsia="Times New Roman" w:hAnsi="Times New Roman"/>
          <w:sz w:val="16"/>
          <w:szCs w:val="16"/>
          <w:color w:val="auto"/>
        </w:rPr>
        <w:t>We do not currently have a comprehensive infrastructure for the sales, marketing and distribution of pharmaceutical drug products.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sustain profitability. We will be competing with many companies that have extensive and well-funded sales and marketing operations. Without an internal commercial organization or the support of a third party to perform sales and marketing functions, or a combination of both, we may be unable to compete successfully against more established companies.</w:t>
      </w:r>
    </w:p>
    <w:p>
      <w:pPr>
        <w:spacing w:after="0" w:line="166" w:lineRule="exact"/>
        <w:rPr>
          <w:sz w:val="20"/>
          <w:szCs w:val="20"/>
          <w:color w:val="auto"/>
        </w:rPr>
      </w:pPr>
    </w:p>
    <w:p>
      <w:pPr>
        <w:ind w:left="7" w:right="2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if approved, may not achieve adequate market acceptance among physicians, patients, and healthcare payers and others in the medical community necessary for commercial success.</w:t>
      </w:r>
    </w:p>
    <w:p>
      <w:pPr>
        <w:spacing w:after="0" w:line="148" w:lineRule="exact"/>
        <w:rPr>
          <w:sz w:val="20"/>
          <w:szCs w:val="20"/>
          <w:color w:val="auto"/>
        </w:rPr>
      </w:pPr>
    </w:p>
    <w:p>
      <w:pPr>
        <w:ind w:left="7" w:right="20" w:firstLine="389"/>
        <w:spacing w:after="0" w:line="251" w:lineRule="auto"/>
        <w:rPr>
          <w:sz w:val="20"/>
          <w:szCs w:val="20"/>
          <w:color w:val="auto"/>
        </w:rPr>
      </w:pPr>
      <w:r>
        <w:rPr>
          <w:rFonts w:ascii="Times New Roman" w:cs="Times New Roman" w:eastAsia="Times New Roman" w:hAnsi="Times New Roman"/>
          <w:sz w:val="16"/>
          <w:szCs w:val="16"/>
          <w:color w:val="auto"/>
        </w:rPr>
        <w:t>Even if we obtain regulatory approval for any of our product candidates, such product(s) may not gain market acceptance among physicians, healthcare payers, patients or the medical community within the U.S. or globally. Our commercial success also depends on coverage and adequate reimbursement of our product candidates by third-party payers, including government payers,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64" w:lineRule="exact"/>
        <w:rPr>
          <w:sz w:val="20"/>
          <w:szCs w:val="20"/>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of such product candidates as demonstrated in clinical trials;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candidate is approved;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by physicians and patients of the product candidate as a safe and effective treatment;</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product candidates over alternative treatments;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of product candidates seen in a broader patient group, including a product candidate’s use outside the approved indications;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or other regulatory authorities;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our products as well as competitive products;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coverage and adequate reimbursement and pricing by third-party payers and government authorities;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convenience and ease of administration;</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sales and marketing efforts and those of our collaborators; and</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18" w:right="339" w:bottom="1440" w:gutter="0" w:footer="0" w:header="0"/>
        </w:sectPr>
      </w:pPr>
    </w:p>
    <w:bookmarkStart w:id="20" w:name="page21"/>
    <w:bookmarkEnd w:id="20"/>
    <w:p>
      <w:pPr>
        <w:ind w:left="427" w:hanging="427"/>
        <w:spacing w:after="0"/>
        <w:tabs>
          <w:tab w:leader="none" w:pos="42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relating to the product candidate or the Company.</w:t>
      </w:r>
    </w:p>
    <w:p>
      <w:pPr>
        <w:spacing w:after="0" w:line="189" w:lineRule="exact"/>
        <w:rPr>
          <w:sz w:val="20"/>
          <w:szCs w:val="20"/>
          <w:color w:val="auto"/>
        </w:rPr>
      </w:pPr>
    </w:p>
    <w:p>
      <w:pPr>
        <w:ind w:left="7" w:right="20" w:firstLine="280"/>
        <w:spacing w:after="0" w:line="267" w:lineRule="auto"/>
        <w:rPr>
          <w:sz w:val="20"/>
          <w:szCs w:val="20"/>
          <w:color w:val="auto"/>
        </w:rPr>
      </w:pPr>
      <w:r>
        <w:rPr>
          <w:rFonts w:ascii="Times New Roman" w:cs="Times New Roman" w:eastAsia="Times New Roman" w:hAnsi="Times New Roman"/>
          <w:sz w:val="16"/>
          <w:szCs w:val="16"/>
          <w:color w:val="auto"/>
        </w:rPr>
        <w:t>If any of our product candidates are approved but fail to achieve market acceptance among physicians, patients, or healthcare payers, we will not be able to generate significant revenues, which would compromise our ability to sustain profitability.</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Our research programs may not succeed</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ind w:left="7" w:right="20" w:firstLine="389"/>
        <w:spacing w:after="0" w:line="267" w:lineRule="auto"/>
        <w:rPr>
          <w:sz w:val="20"/>
          <w:szCs w:val="20"/>
          <w:color w:val="auto"/>
        </w:rPr>
      </w:pPr>
      <w:r>
        <w:rPr>
          <w:rFonts w:ascii="Times New Roman" w:cs="Times New Roman" w:eastAsia="Times New Roman" w:hAnsi="Times New Roman"/>
          <w:sz w:val="16"/>
          <w:szCs w:val="16"/>
          <w:color w:val="auto"/>
        </w:rPr>
        <w:t>XBiotech has positioned itself with a pipeline of potential drug candidates at various stages of development. Even though we have multiple drugs in development at this time, none of these research programs may succeed. There are several reasons why a drug program may fail, including the following:</w:t>
      </w:r>
    </w:p>
    <w:p>
      <w:pPr>
        <w:spacing w:after="0" w:line="151" w:lineRule="exact"/>
        <w:rPr>
          <w:sz w:val="20"/>
          <w:szCs w:val="20"/>
          <w:color w:val="auto"/>
        </w:rPr>
      </w:pPr>
    </w:p>
    <w:p>
      <w:pPr>
        <w:ind w:left="327" w:hanging="280"/>
        <w:spacing w:after="0"/>
        <w:tabs>
          <w:tab w:leader="none" w:pos="3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development stage, we may be unable to develop a therapy, which would mean us succeeding in isolating appropriate antibodies to reach the clinical trial stage;</w:t>
      </w:r>
    </w:p>
    <w:p>
      <w:pPr>
        <w:spacing w:after="0" w:line="189" w:lineRule="exact"/>
        <w:rPr>
          <w:rFonts w:ascii="Times New Roman" w:cs="Times New Roman" w:eastAsia="Times New Roman" w:hAnsi="Times New Roman"/>
          <w:sz w:val="16"/>
          <w:szCs w:val="16"/>
          <w:color w:val="auto"/>
        </w:rPr>
      </w:pPr>
    </w:p>
    <w:p>
      <w:pPr>
        <w:ind w:left="347" w:hanging="288"/>
        <w:spacing w:after="0"/>
        <w:tabs>
          <w:tab w:leader="none" w:pos="34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partnerships for the development of antibodies could fail to produce results that would necessitate clinical trials;</w:t>
      </w:r>
    </w:p>
    <w:p>
      <w:pPr>
        <w:spacing w:after="0" w:line="189" w:lineRule="exact"/>
        <w:rPr>
          <w:rFonts w:ascii="Times New Roman" w:cs="Times New Roman" w:eastAsia="Times New Roman" w:hAnsi="Times New Roman"/>
          <w:sz w:val="16"/>
          <w:szCs w:val="16"/>
          <w:color w:val="auto"/>
        </w:rPr>
      </w:pPr>
    </w:p>
    <w:p>
      <w:pPr>
        <w:ind w:left="347" w:hanging="288"/>
        <w:spacing w:after="0"/>
        <w:tabs>
          <w:tab w:leader="none" w:pos="34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receive approval from regulatory bodies to move from early stage clinical trials to later stage clinical trials;</w:t>
      </w:r>
    </w:p>
    <w:p>
      <w:pPr>
        <w:spacing w:after="0" w:line="189" w:lineRule="exact"/>
        <w:rPr>
          <w:rFonts w:ascii="Times New Roman" w:cs="Times New Roman" w:eastAsia="Times New Roman" w:hAnsi="Times New Roman"/>
          <w:sz w:val="16"/>
          <w:szCs w:val="16"/>
          <w:color w:val="auto"/>
        </w:rPr>
      </w:pPr>
    </w:p>
    <w:p>
      <w:pPr>
        <w:ind w:left="327" w:hanging="280"/>
        <w:spacing w:after="0"/>
        <w:tabs>
          <w:tab w:leader="none" w:pos="3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are able to move to later stage clinical trials, it may prove to be difficult to enroll patients into the studies according to schedule, or at all;</w:t>
      </w:r>
    </w:p>
    <w:p>
      <w:pPr>
        <w:spacing w:after="0" w:line="189" w:lineRule="exact"/>
        <w:rPr>
          <w:rFonts w:ascii="Times New Roman" w:cs="Times New Roman" w:eastAsia="Times New Roman" w:hAnsi="Times New Roman"/>
          <w:sz w:val="16"/>
          <w:szCs w:val="16"/>
          <w:color w:val="auto"/>
        </w:rPr>
      </w:pPr>
    </w:p>
    <w:p>
      <w:pPr>
        <w:ind w:left="327" w:hanging="280"/>
        <w:spacing w:after="0"/>
        <w:tabs>
          <w:tab w:leader="none" w:pos="3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experienced prior difficulties with clinical sites and patient enrollment and cannot assure that such difficulties will not occur in future clinical trials.</w:t>
      </w:r>
    </w:p>
    <w:p>
      <w:pPr>
        <w:spacing w:after="0" w:line="189" w:lineRule="exact"/>
        <w:rPr>
          <w:rFonts w:ascii="Times New Roman" w:cs="Times New Roman" w:eastAsia="Times New Roman" w:hAnsi="Times New Roman"/>
          <w:sz w:val="16"/>
          <w:szCs w:val="16"/>
          <w:color w:val="auto"/>
        </w:rPr>
      </w:pPr>
    </w:p>
    <w:p>
      <w:pPr>
        <w:ind w:left="327" w:right="500" w:hanging="280"/>
        <w:spacing w:after="0" w:line="267" w:lineRule="auto"/>
        <w:tabs>
          <w:tab w:leader="none" w:pos="3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clinical trial, there could be unexpected serious adverse events causing severe injury or death in patients, requiring us to cease further enrollment or causing regulatory authorities to place the trial on clinical hold for an indefinite period of time;</w:t>
      </w:r>
    </w:p>
    <w:p>
      <w:pPr>
        <w:spacing w:after="0" w:line="150" w:lineRule="exact"/>
        <w:rPr>
          <w:rFonts w:ascii="Times New Roman" w:cs="Times New Roman" w:eastAsia="Times New Roman" w:hAnsi="Times New Roman"/>
          <w:sz w:val="16"/>
          <w:szCs w:val="16"/>
          <w:color w:val="auto"/>
        </w:rPr>
      </w:pPr>
    </w:p>
    <w:p>
      <w:pPr>
        <w:ind w:left="327" w:hanging="280"/>
        <w:spacing w:after="0" w:line="267" w:lineRule="auto"/>
        <w:tabs>
          <w:tab w:leader="none" w:pos="3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clinical trial is completed, we may not have the appropriate personnel to submit a marketing application to regulatory authorities for approval, and to further respond to the variety of follow up questions that regulatory authorities may have during the review process;</w:t>
      </w:r>
    </w:p>
    <w:p>
      <w:pPr>
        <w:spacing w:after="0" w:line="150" w:lineRule="exact"/>
        <w:rPr>
          <w:rFonts w:ascii="Times New Roman" w:cs="Times New Roman" w:eastAsia="Times New Roman" w:hAnsi="Times New Roman"/>
          <w:sz w:val="16"/>
          <w:szCs w:val="16"/>
          <w:color w:val="auto"/>
        </w:rPr>
      </w:pPr>
    </w:p>
    <w:p>
      <w:pPr>
        <w:ind w:left="327" w:hanging="280"/>
        <w:spacing w:after="0"/>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reject drug candidates for a variety of reasons, preventing us from proceeding with marketing and commercialization of approved products; and</w:t>
      </w:r>
    </w:p>
    <w:p>
      <w:pPr>
        <w:spacing w:after="0" w:line="212" w:lineRule="exact"/>
        <w:rPr>
          <w:rFonts w:ascii="Times New Roman" w:cs="Times New Roman" w:eastAsia="Times New Roman" w:hAnsi="Times New Roman"/>
          <w:sz w:val="14"/>
          <w:szCs w:val="14"/>
          <w:color w:val="auto"/>
        </w:rPr>
      </w:pPr>
    </w:p>
    <w:p>
      <w:pPr>
        <w:ind w:left="347" w:hanging="277"/>
        <w:spacing w:after="0"/>
        <w:tabs>
          <w:tab w:leader="none" w:pos="347"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run out of the funds necessary to complete development for any of our potential drug candidates.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Even an effective drug candidate might not be commercially successful</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left="7" w:firstLine="389"/>
        <w:spacing w:after="0" w:line="288" w:lineRule="auto"/>
        <w:rPr>
          <w:sz w:val="20"/>
          <w:szCs w:val="20"/>
          <w:color w:val="auto"/>
        </w:rPr>
      </w:pPr>
      <w:r>
        <w:rPr>
          <w:rFonts w:ascii="Times New Roman" w:cs="Times New Roman" w:eastAsia="Times New Roman" w:hAnsi="Times New Roman"/>
          <w:sz w:val="14"/>
          <w:szCs w:val="14"/>
          <w:color w:val="auto"/>
        </w:rPr>
        <w:t>Even if we ultimately succeed in creating a safe and effective drug, as determined by regulatory authorities, based on our current product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payers will decide to add our products to their respective prescription drug formularies for reimbursement, thus inhibiting the ability for our drug candidates to reach the target patient populations, and health care professionals serving those patients.</w:t>
      </w:r>
    </w:p>
    <w:p>
      <w:pPr>
        <w:spacing w:after="0" w:line="14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7"/>
          </w:cols>
          <w:pgMar w:left="313" w:top="5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competition, which may result in others discovering, developing or commercializing products before or more successfully than we do.</w:t>
      </w:r>
    </w:p>
    <w:p>
      <w:pPr>
        <w:spacing w:after="0" w:line="191" w:lineRule="exact"/>
        <w:rPr>
          <w:sz w:val="20"/>
          <w:szCs w:val="20"/>
          <w:color w:val="auto"/>
        </w:rPr>
      </w:pPr>
    </w:p>
    <w:p>
      <w:pPr>
        <w:ind w:firstLine="389"/>
        <w:spacing w:after="0" w:line="248" w:lineRule="auto"/>
        <w:rPr>
          <w:sz w:val="20"/>
          <w:szCs w:val="20"/>
          <w:color w:val="auto"/>
        </w:rPr>
      </w:pPr>
      <w:r>
        <w:rPr>
          <w:rFonts w:ascii="Times New Roman" w:cs="Times New Roman" w:eastAsia="Times New Roman" w:hAnsi="Times New Roman"/>
          <w:sz w:val="16"/>
          <w:szCs w:val="16"/>
          <w:color w:val="auto"/>
        </w:rPr>
        <w:t>The development and commercialization of new drug products is highly competitive. We face competition with respect to our current or future product candidates to treat any relevant indication(s). 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6" w:lineRule="exact"/>
        <w:rPr>
          <w:sz w:val="20"/>
          <w:szCs w:val="20"/>
          <w:color w:val="auto"/>
        </w:rPr>
      </w:pPr>
    </w:p>
    <w:p>
      <w:pPr>
        <w:ind w:right="160" w:firstLine="389"/>
        <w:spacing w:after="0" w:line="249" w:lineRule="auto"/>
        <w:rPr>
          <w:sz w:val="20"/>
          <w:szCs w:val="20"/>
          <w:color w:val="auto"/>
        </w:rPr>
      </w:pPr>
      <w:r>
        <w:rPr>
          <w:rFonts w:ascii="Times New Roman" w:cs="Times New Roman" w:eastAsia="Times New Roman" w:hAnsi="Times New Roman"/>
          <w:sz w:val="16"/>
          <w:szCs w:val="16"/>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any of our product candidates. In addition, many companies are developing new therapeutics to supplant or expand upon the standard of care for a number of diseases, as a result, we cannot predict what the standard of care will be as our product candidates progress through clinical development.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successfully identify, acquire, develop and commercialize additional product candidates or approved products could impair our ability to grow.</w:t>
      </w:r>
    </w:p>
    <w:p>
      <w:pPr>
        <w:spacing w:after="0" w:line="191" w:lineRule="exact"/>
        <w:rPr>
          <w:sz w:val="20"/>
          <w:szCs w:val="20"/>
          <w:color w:val="auto"/>
        </w:rPr>
      </w:pPr>
    </w:p>
    <w:p>
      <w:pPr>
        <w:jc w:val="both"/>
        <w:ind w:right="40" w:firstLine="389"/>
        <w:spacing w:after="0" w:line="286" w:lineRule="auto"/>
        <w:rPr>
          <w:sz w:val="20"/>
          <w:szCs w:val="20"/>
          <w:color w:val="auto"/>
        </w:rPr>
      </w:pPr>
      <w:r>
        <w:rPr>
          <w:rFonts w:ascii="Times New Roman" w:cs="Times New Roman" w:eastAsia="Times New Roman" w:hAnsi="Times New Roman"/>
          <w:sz w:val="14"/>
          <w:szCs w:val="14"/>
          <w:color w:val="auto"/>
        </w:rPr>
        <w:t>Although a substantial amount of our efforts will focus on the continued clinical testing and potential approval of our current product candidates,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91" w:lineRule="exact"/>
        <w:rPr>
          <w:sz w:val="20"/>
          <w:szCs w:val="20"/>
          <w:color w:val="auto"/>
        </w:rPr>
      </w:pPr>
    </w:p>
    <w:p>
      <w:pPr>
        <w:ind w:firstLine="389"/>
        <w:spacing w:after="0" w:line="251"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2" w:name="page23"/>
    <w:bookmarkEnd w:id="22"/>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clinical trial sites or entire clinical trial programs;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clinical trial subjects or patients;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and scientific resources from our business operations;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our product candidates.</w:t>
      </w:r>
    </w:p>
    <w:p>
      <w:pPr>
        <w:spacing w:after="0" w:line="189" w:lineRule="exact"/>
        <w:rPr>
          <w:sz w:val="20"/>
          <w:szCs w:val="20"/>
          <w:color w:val="auto"/>
        </w:rPr>
      </w:pPr>
    </w:p>
    <w:p>
      <w:pPr>
        <w:ind w:left="7" w:firstLine="389"/>
        <w:spacing w:after="0" w:line="251" w:lineRule="auto"/>
        <w:rPr>
          <w:sz w:val="20"/>
          <w:szCs w:val="20"/>
          <w:color w:val="auto"/>
        </w:rPr>
      </w:pPr>
      <w:r>
        <w:rPr>
          <w:rFonts w:ascii="Times New Roman" w:cs="Times New Roman" w:eastAsia="Times New Roman" w:hAnsi="Times New Roman"/>
          <w:sz w:val="16"/>
          <w:szCs w:val="16"/>
          <w:color w:val="auto"/>
        </w:rPr>
        <w:t>We will obtain insurance coverage for products to include the sale of commercial products if we obtain marketing approval for our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expand our operations and grow the size of our organization in the future, and we may experience difficulties in managing this growth.</w:t>
      </w:r>
    </w:p>
    <w:p>
      <w:pPr>
        <w:spacing w:after="0" w:line="191" w:lineRule="exact"/>
        <w:rPr>
          <w:sz w:val="20"/>
          <w:szCs w:val="20"/>
          <w:color w:val="auto"/>
        </w:rPr>
      </w:pPr>
    </w:p>
    <w:p>
      <w:pPr>
        <w:jc w:val="both"/>
        <w:ind w:left="7" w:right="120" w:firstLine="389"/>
        <w:spacing w:after="0" w:line="255" w:lineRule="auto"/>
        <w:rPr>
          <w:sz w:val="20"/>
          <w:szCs w:val="20"/>
          <w:color w:val="auto"/>
        </w:rPr>
      </w:pPr>
      <w:r>
        <w:rPr>
          <w:rFonts w:ascii="Times New Roman" w:cs="Times New Roman" w:eastAsia="Times New Roman" w:hAnsi="Times New Roman"/>
          <w:sz w:val="16"/>
          <w:szCs w:val="16"/>
          <w:color w:val="auto"/>
        </w:rPr>
        <w:t>As of December 31, 2025, we had 85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60" w:lineRule="exact"/>
        <w:rPr>
          <w:sz w:val="20"/>
          <w:szCs w:val="20"/>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clinical trials effectively, which we anticipate potentially being conducted at numerous clinical sites on a global scale;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recruiting, maintaining, motivating and integrating additional employees with the expertise and experience we will require;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internal development efforts effectively while complying with our contractual obligations to licensors, licensees, contractors and other third parties;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additional relationships with various strategic partners, suppliers and other third parties;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our managerial, development, operational and finance reporting systems and procedures;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facilities.</w:t>
      </w:r>
    </w:p>
    <w:p>
      <w:pPr>
        <w:spacing w:after="0" w:line="189"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7"/>
          </w:cols>
          <w:pgMar w:left="313" w:top="520"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Our failure to accomplish any of these tasks could prevent us from successfully growing our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never achieve any of the potential milestone payments that were negotiated as a part of the Janssen Transaction.</w:t>
      </w:r>
    </w:p>
    <w:p>
      <w:pPr>
        <w:spacing w:after="0" w:line="191" w:lineRule="exact"/>
        <w:rPr>
          <w:sz w:val="20"/>
          <w:szCs w:val="20"/>
          <w:color w:val="auto"/>
        </w:rPr>
      </w:pPr>
    </w:p>
    <w:p>
      <w:pPr>
        <w:ind w:right="60" w:firstLine="389"/>
        <w:spacing w:after="0" w:line="248" w:lineRule="auto"/>
        <w:rPr>
          <w:sz w:val="20"/>
          <w:szCs w:val="20"/>
          <w:color w:val="auto"/>
        </w:rPr>
      </w:pPr>
      <w:r>
        <w:rPr>
          <w:rFonts w:ascii="Times New Roman" w:cs="Times New Roman" w:eastAsia="Times New Roman" w:hAnsi="Times New Roman"/>
          <w:sz w:val="16"/>
          <w:szCs w:val="16"/>
          <w:color w:val="auto"/>
        </w:rPr>
        <w:t>As part of the Janssen Transaction, we are eligible to receive milestone payments of $150 million for each instance that Janssen, in its sole and absolute discretion, develops pharmaceutical products that contain Bermekimab and that are for non-dermatological indications, provided that Janssen receives certain required commercial authorizations for such products within a specified timeframe. We are entitled to earn up to four milestone payments, for a maximum of $600 million set to expire after twelve years in 2031. However, because the payment of these funds is subject to Janssen’s business decisions and discretion, as well as regulatory approvals and other factors outside our control, we may never receive any of these amounts. If we do not receive all or any of the milestone payments, we may be required to seek additional funding from other sources, which may not be available on terms acceptable to us or at all.</w:t>
      </w:r>
    </w:p>
    <w:p>
      <w:pPr>
        <w:spacing w:after="0" w:line="164" w:lineRule="exact"/>
        <w:rPr>
          <w:sz w:val="20"/>
          <w:szCs w:val="20"/>
          <w:color w:val="auto"/>
        </w:rPr>
      </w:pPr>
    </w:p>
    <w:p>
      <w:pPr>
        <w:ind w:right="40" w:firstLine="38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depend on key personnel to operate our business. If we are unable to retain, attract and integrate qualified personnel, our ability to develop and successfully grow our business could be harmed.</w:t>
      </w:r>
    </w:p>
    <w:p>
      <w:pPr>
        <w:spacing w:after="0" w:line="148" w:lineRule="exact"/>
        <w:rPr>
          <w:sz w:val="20"/>
          <w:szCs w:val="20"/>
          <w:color w:val="auto"/>
        </w:rPr>
      </w:pPr>
    </w:p>
    <w:p>
      <w:pPr>
        <w:ind w:right="60" w:firstLine="389"/>
        <w:spacing w:after="0" w:line="251" w:lineRule="auto"/>
        <w:rPr>
          <w:sz w:val="20"/>
          <w:szCs w:val="20"/>
          <w:color w:val="auto"/>
        </w:rPr>
      </w:pPr>
      <w:r>
        <w:rPr>
          <w:rFonts w:ascii="Times New Roman" w:cs="Times New Roman" w:eastAsia="Times New Roman" w:hAnsi="Times New Roman"/>
          <w:sz w:val="16"/>
          <w:szCs w:val="16"/>
          <w:color w:val="auto"/>
        </w:rPr>
        <w:t>Our Chairman, John Simard, founded our Company and served as our Chief Executive Officer from the time of our founding until his retirement from that position on December 8, 2025. Mr. Simard has been critical to the strategic direction and overall management of our Company as well as our research and development process. Although Mr. Simard continues to serve in a consulting role with the Company pursuant to his employment agreement and remains Chairman, his departure as Chief Executive Officer and future departure from his other roles with the Company may adversely affect our business, financial condition and operating results.</w:t>
      </w:r>
    </w:p>
    <w:p>
      <w:pPr>
        <w:spacing w:after="0" w:line="164" w:lineRule="exact"/>
        <w:rPr>
          <w:sz w:val="20"/>
          <w:szCs w:val="20"/>
          <w:color w:val="auto"/>
        </w:rPr>
      </w:pPr>
    </w:p>
    <w:p>
      <w:pPr>
        <w:ind w:firstLine="389"/>
        <w:spacing w:after="0" w:line="249" w:lineRule="auto"/>
        <w:rPr>
          <w:sz w:val="20"/>
          <w:szCs w:val="20"/>
          <w:color w:val="auto"/>
        </w:rPr>
      </w:pPr>
      <w:r>
        <w:rPr>
          <w:rFonts w:ascii="Times New Roman" w:cs="Times New Roman" w:eastAsia="Times New Roman" w:hAnsi="Times New Roman"/>
          <w:sz w:val="16"/>
          <w:szCs w:val="16"/>
          <w:color w:val="auto"/>
        </w:rPr>
        <w:t>We believe that our future success is also highly dependent on the contributions of other significant Company personnel, as well as our ability to attract and retain highly skilled and experienced sales, research and development and other personnel in the United States and abroad. Some of our significant employees include our Chief Scientific Officer and interim Chief Executive Officer, Dr. Sushma Shivaswamy, as well as our Vice President of Quality Assurance, our Vice President of Manufacturing, our Senior Vice President of Clinical Operations and Analytical Quality, and our Principal Financial Officer and Principal Accounting Officer. Changes in our management team may be disruptive to our operations and may adversely affect our business, financial condition and operating results.</w:t>
      </w:r>
    </w:p>
    <w:p>
      <w:pPr>
        <w:spacing w:after="0" w:line="166" w:lineRule="exact"/>
        <w:rPr>
          <w:sz w:val="20"/>
          <w:szCs w:val="20"/>
          <w:color w:val="auto"/>
        </w:rPr>
      </w:pPr>
    </w:p>
    <w:p>
      <w:pPr>
        <w:ind w:right="20" w:firstLine="389"/>
        <w:spacing w:after="0" w:line="247" w:lineRule="auto"/>
        <w:rPr>
          <w:sz w:val="20"/>
          <w:szCs w:val="20"/>
          <w:color w:val="auto"/>
        </w:rPr>
      </w:pPr>
      <w:r>
        <w:rPr>
          <w:rFonts w:ascii="Times New Roman" w:cs="Times New Roman" w:eastAsia="Times New Roman" w:hAnsi="Times New Roman"/>
          <w:sz w:val="16"/>
          <w:szCs w:val="16"/>
          <w:color w:val="auto"/>
        </w:rPr>
        <w:t>Our employees are free to depart the Company at any time, subject to any applicable notice requirements, and their knowledge of our business and industry may be difficult to replace. If one or more of our executive officers or significant employees were to depart the Company,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 and may adversely affect our business, financial condition and operating results.</w:t>
      </w:r>
    </w:p>
    <w:p>
      <w:pPr>
        <w:spacing w:after="0" w:line="16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8" w:lineRule="exact"/>
        <w:rPr>
          <w:sz w:val="20"/>
          <w:szCs w:val="20"/>
          <w:color w:val="auto"/>
        </w:rPr>
      </w:pPr>
    </w:p>
    <w:p>
      <w:pPr>
        <w:ind w:right="120" w:firstLine="389"/>
        <w:spacing w:after="0" w:line="251"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 the U.S.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24" w:name="page25"/>
    <w:bookmarkEnd w:id="24"/>
    <w:p>
      <w:pPr>
        <w:ind w:right="120" w:firstLine="389"/>
        <w:spacing w:after="0" w:line="340" w:lineRule="auto"/>
        <w:rPr>
          <w:sz w:val="20"/>
          <w:szCs w:val="20"/>
          <w:color w:val="auto"/>
        </w:rPr>
      </w:pPr>
      <w:r>
        <w:rPr>
          <w:rFonts w:ascii="Times New Roman" w:cs="Times New Roman" w:eastAsia="Times New Roman" w:hAnsi="Times New Roman"/>
          <w:sz w:val="14"/>
          <w:szCs w:val="14"/>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4" w:lineRule="exact"/>
        <w:rPr>
          <w:sz w:val="20"/>
          <w:szCs w:val="20"/>
          <w:color w:val="auto"/>
        </w:rPr>
      </w:pPr>
    </w:p>
    <w:p>
      <w:pPr>
        <w:jc w:val="both"/>
        <w:ind w:right="220" w:firstLine="389"/>
        <w:spacing w:after="0" w:line="249" w:lineRule="auto"/>
        <w:rPr>
          <w:sz w:val="20"/>
          <w:szCs w:val="20"/>
          <w:color w:val="auto"/>
        </w:rPr>
      </w:pPr>
      <w:r>
        <w:rPr>
          <w:rFonts w:ascii="Times New Roman" w:cs="Times New Roman" w:eastAsia="Times New Roman" w:hAnsi="Times New Roman"/>
          <w:sz w:val="16"/>
          <w:szCs w:val="16"/>
          <w:color w:val="auto"/>
        </w:rPr>
        <w:t>Although we maintain insurance for employee injury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1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Business disruptions caused by natural disasters, infrastructure interruptions or other public health threats could seriously harm our future revenues and financial condition and increase our costs and expenses.</w:t>
      </w:r>
    </w:p>
    <w:p>
      <w:pPr>
        <w:spacing w:after="0" w:line="148" w:lineRule="exact"/>
        <w:rPr>
          <w:sz w:val="20"/>
          <w:szCs w:val="20"/>
          <w:color w:val="auto"/>
        </w:rPr>
      </w:pPr>
    </w:p>
    <w:p>
      <w:pPr>
        <w:ind w:right="80" w:firstLine="389"/>
        <w:spacing w:after="0" w:line="245" w:lineRule="auto"/>
        <w:rPr>
          <w:sz w:val="20"/>
          <w:szCs w:val="20"/>
          <w:color w:val="auto"/>
        </w:rPr>
      </w:pPr>
      <w:r>
        <w:rPr>
          <w:rFonts w:ascii="Times New Roman" w:cs="Times New Roman" w:eastAsia="Times New Roman" w:hAnsi="Times New Roman"/>
          <w:sz w:val="16"/>
          <w:szCs w:val="16"/>
          <w:color w:val="auto"/>
        </w:rPr>
        <w:t>Our operations could be subject to earthquakes, power shortages or outages, telecommunications failures, water shortages, floods, hurricanes, tornado, fires, extreme weather conditions, medical epidemics such as contagious disease outbreaks,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a public health crisis or other business interruption. For example, the ongoing coronavirus threat has spread to a number of countries, including the United States and various countries in Europe, resulting in the declaration by the World Health Organization of a global pandemic and the announcement of extended travel restrictions, business shutdowns, cancellations and prohibitions of large public gatherings and declarations of states of emergency in cities, states and countries around the world. The imposition of any of these restrictions in one of the regions where our facilities or those of our third-party suppliers are located would have a disproportionately negative impact on us. The extent of the ultimate impact to us, our significant suppliers and our general infrastructure resulting from concentration in certain geographical areas is unknown and cannot be estimated, but our operations and financial condition would likely suffer in the event of a major earthquake, fire or other natural disaster or public health threat such as the coronavirus pandemic in one or more of those areas. Further, any significant uninsured liability may require us to pay substantial amounts, which would adversely affect our business, results of operations, financial condition and cash flows from future prospects.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Policy and trade decisions by government entities, including the potential use and effects of tariffs, could materially impact the macroeconomic framework in which we operate.</w:t>
      </w:r>
    </w:p>
    <w:p>
      <w:pPr>
        <w:spacing w:after="0" w:line="214" w:lineRule="exact"/>
        <w:rPr>
          <w:sz w:val="20"/>
          <w:szCs w:val="20"/>
          <w:color w:val="auto"/>
        </w:rPr>
      </w:pPr>
    </w:p>
    <w:p>
      <w:pPr>
        <w:jc w:val="both"/>
        <w:ind w:firstLine="560"/>
        <w:spacing w:after="0" w:line="299" w:lineRule="auto"/>
        <w:rPr>
          <w:sz w:val="20"/>
          <w:szCs w:val="20"/>
          <w:color w:val="auto"/>
        </w:rPr>
      </w:pPr>
      <w:r>
        <w:rPr>
          <w:rFonts w:ascii="Times New Roman" w:cs="Times New Roman" w:eastAsia="Times New Roman" w:hAnsi="Times New Roman"/>
          <w:sz w:val="14"/>
          <w:szCs w:val="14"/>
          <w:color w:val="auto"/>
        </w:rPr>
        <w:t>Policy and trade decisions made by governments in the jurisdictions where we operate, including the United States and Canada, could affect the macroeconomic framework in which we operate and could impact our business and financial condition. It is possible, for example, that modifications of tariff policy and other U.S. governmental policies could impact our financial performance. Any trade disputes or significant changes in trade policies, through the implementation of tariffs or otherwise, have the potential to adversely affect us, including by impacting (a) the supply chains for our operations as well as the third parties with whom we engage, and (b) the macroeconomic markets at large.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If </w:t>
      </w:r>
      <w:r>
        <w:rPr>
          <w:rFonts w:ascii="Times New Roman" w:cs="Times New Roman" w:eastAsia="Times New Roman" w:hAnsi="Times New Roman"/>
          <w:sz w:val="16"/>
          <w:szCs w:val="16"/>
          <w:b w:val="1"/>
          <w:bCs w:val="1"/>
          <w:i w:val="1"/>
          <w:iCs w:val="1"/>
          <w:color w:val="auto"/>
        </w:rPr>
        <w:t>we are unable to obtain or protect intellectual property rights, our competitive position could be harmed.</w:t>
      </w:r>
    </w:p>
    <w:p>
      <w:pPr>
        <w:spacing w:after="0" w:line="191" w:lineRule="exact"/>
        <w:rPr>
          <w:sz w:val="20"/>
          <w:szCs w:val="20"/>
          <w:color w:val="auto"/>
        </w:rPr>
      </w:pPr>
    </w:p>
    <w:p>
      <w:pPr>
        <w:ind w:right="40" w:firstLine="389"/>
        <w:spacing w:after="0" w:line="290" w:lineRule="auto"/>
        <w:rPr>
          <w:sz w:val="20"/>
          <w:szCs w:val="20"/>
          <w:color w:val="auto"/>
        </w:rPr>
      </w:pPr>
      <w:r>
        <w:rPr>
          <w:rFonts w:ascii="Times New Roman" w:cs="Times New Roman" w:eastAsia="Times New Roman" w:hAnsi="Times New Roman"/>
          <w:sz w:val="14"/>
          <w:szCs w:val="14"/>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U.S. and other countries with respect to our proprietary technology and products. Where we deem appropriate, we seek to protect our proprietary position by filing patent applications in the U.S.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25" w:name="page26"/>
    <w:bookmarkEnd w:id="25"/>
    <w:p>
      <w:pPr>
        <w:ind w:left="7" w:right="100" w:firstLine="389"/>
        <w:spacing w:after="0" w:line="249" w:lineRule="auto"/>
        <w:rPr>
          <w:sz w:val="20"/>
          <w:szCs w:val="20"/>
          <w:color w:val="auto"/>
        </w:rPr>
      </w:pPr>
      <w:r>
        <w:rPr>
          <w:rFonts w:ascii="Times New Roman" w:cs="Times New Roman" w:eastAsia="Times New Roman" w:hAnsi="Times New Roman"/>
          <w:sz w:val="16"/>
          <w:szCs w:val="16"/>
          <w:color w:val="auto"/>
        </w:rPr>
        <w:t>The steps we have taken to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66" w:lineRule="exact"/>
        <w:rPr>
          <w:sz w:val="20"/>
          <w:szCs w:val="20"/>
          <w:color w:val="auto"/>
        </w:rPr>
      </w:pPr>
    </w:p>
    <w:p>
      <w:pPr>
        <w:ind w:left="7" w:firstLine="389"/>
        <w:spacing w:after="0" w:line="285" w:lineRule="auto"/>
        <w:rPr>
          <w:sz w:val="20"/>
          <w:szCs w:val="20"/>
          <w:color w:val="auto"/>
        </w:rPr>
      </w:pPr>
      <w:r>
        <w:rPr>
          <w:rFonts w:ascii="Times New Roman" w:cs="Times New Roman" w:eastAsia="Times New Roman" w:hAnsi="Times New Roman"/>
          <w:sz w:val="14"/>
          <w:szCs w:val="14"/>
          <w:color w:val="auto"/>
        </w:rPr>
        <w:t>With respect to patent rights, we do not know whether our pending patent applications for any of our technologies or product candidates will result in the issuance of patents that protect such technologies or product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are granted. Because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3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 to any competitive advantage we may have.</w:t>
      </w:r>
    </w:p>
    <w:p>
      <w:pPr>
        <w:spacing w:after="0" w:line="191" w:lineRule="exact"/>
        <w:rPr>
          <w:sz w:val="20"/>
          <w:szCs w:val="20"/>
          <w:color w:val="auto"/>
        </w:rPr>
      </w:pPr>
    </w:p>
    <w:p>
      <w:pPr>
        <w:ind w:left="7" w:right="180" w:firstLine="389"/>
        <w:spacing w:after="0" w:line="267"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51" w:lineRule="exact"/>
        <w:rPr>
          <w:sz w:val="20"/>
          <w:szCs w:val="20"/>
          <w:color w:val="auto"/>
        </w:rPr>
      </w:pPr>
    </w:p>
    <w:p>
      <w:pPr>
        <w:ind w:left="427" w:right="20" w:hanging="427"/>
        <w:spacing w:after="0" w:line="267" w:lineRule="auto"/>
        <w:tabs>
          <w:tab w:leader="none" w:pos="4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compounds that are the same as or similar to our current or future product candidates but that are not covered by the claims of the patents that we own or have exclusively licensed.</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make the inventions covered by the issued patent or pending patent application that we own or have exclusively licensed.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of our licensors or strategic partners might not have been the first to file patent applications covering certain of our inventions.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18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20" w:right="339" w:bottom="1440" w:gutter="0" w:footer="0" w:header="0"/>
        </w:sectPr>
      </w:pPr>
    </w:p>
    <w:bookmarkStart w:id="26" w:name="page27"/>
    <w:bookmarkEnd w:id="26"/>
    <w:p>
      <w:pPr>
        <w:ind w:left="427" w:hanging="427"/>
        <w:spacing w:after="0"/>
        <w:tabs>
          <w:tab w:leader="none" w:pos="4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pending patent applications will not lead to issued patents.</w:t>
      </w:r>
    </w:p>
    <w:p>
      <w:pPr>
        <w:spacing w:after="0" w:line="189" w:lineRule="exact"/>
        <w:rPr>
          <w:rFonts w:ascii="Times New Roman" w:cs="Times New Roman" w:eastAsia="Times New Roman" w:hAnsi="Times New Roman"/>
          <w:sz w:val="16"/>
          <w:szCs w:val="16"/>
          <w:color w:val="auto"/>
        </w:rPr>
      </w:pPr>
    </w:p>
    <w:p>
      <w:pPr>
        <w:ind w:left="427" w:right="220" w:hanging="427"/>
        <w:spacing w:after="0" w:line="267" w:lineRule="auto"/>
        <w:tabs>
          <w:tab w:leader="none" w:pos="4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own or have exclusively licensed may not provide us with any competitive advantages, or may be held invalid or unenforceable, as a result of legal challenges by our competitors.</w:t>
      </w:r>
    </w:p>
    <w:p>
      <w:pPr>
        <w:spacing w:after="0" w:line="150" w:lineRule="exact"/>
        <w:rPr>
          <w:rFonts w:ascii="Times New Roman" w:cs="Times New Roman" w:eastAsia="Times New Roman" w:hAnsi="Times New Roman"/>
          <w:sz w:val="16"/>
          <w:szCs w:val="16"/>
          <w:color w:val="auto"/>
        </w:rPr>
      </w:pPr>
    </w:p>
    <w:p>
      <w:pPr>
        <w:ind w:left="427" w:right="280" w:hanging="427"/>
        <w:spacing w:after="0" w:line="255" w:lineRule="auto"/>
        <w:tabs>
          <w:tab w:leader="none" w:pos="4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6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Our technology may be found to infringe upon third-party intellectual property rights.</w:t>
      </w:r>
    </w:p>
    <w:p>
      <w:pPr>
        <w:spacing w:after="0" w:line="191" w:lineRule="exact"/>
        <w:rPr>
          <w:sz w:val="20"/>
          <w:szCs w:val="20"/>
          <w:color w:val="auto"/>
        </w:rPr>
      </w:pPr>
    </w:p>
    <w:p>
      <w:pPr>
        <w:ind w:left="7" w:right="20" w:firstLine="389"/>
        <w:spacing w:after="0" w:line="247" w:lineRule="auto"/>
        <w:rPr>
          <w:sz w:val="20"/>
          <w:szCs w:val="20"/>
          <w:color w:val="auto"/>
        </w:rPr>
      </w:pPr>
      <w:r>
        <w:rPr>
          <w:rFonts w:ascii="Times New Roman" w:cs="Times New Roman" w:eastAsia="Times New Roman" w:hAnsi="Times New Roman"/>
          <w:sz w:val="16"/>
          <w:szCs w:val="16"/>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resulting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If our products, methods, processes and other technologies infringe upon the proprietary rights of other parties, we could incur substantial costs and we may have to:</w:t>
      </w:r>
    </w:p>
    <w:p>
      <w:pPr>
        <w:spacing w:after="0" w:line="189" w:lineRule="exact"/>
        <w:rPr>
          <w:sz w:val="20"/>
          <w:szCs w:val="20"/>
          <w:color w:val="auto"/>
        </w:rPr>
      </w:pPr>
    </w:p>
    <w:p>
      <w:pPr>
        <w:ind w:left="427" w:hanging="427"/>
        <w:spacing w:after="0"/>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licenses, which may not be available on commercially reasonable terms, if at all;</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abandon an infringing drug or therapy candidate;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 our products or processes to avoid infringement;</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stop using the subject matter claimed in the patents held by others;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damages; or</w:t>
      </w:r>
    </w:p>
    <w:p>
      <w:pPr>
        <w:spacing w:after="0" w:line="189" w:lineRule="exact"/>
        <w:rPr>
          <w:rFonts w:ascii="Times New Roman" w:cs="Times New Roman" w:eastAsia="Times New Roman" w:hAnsi="Times New Roman"/>
          <w:sz w:val="16"/>
          <w:szCs w:val="16"/>
          <w:color w:val="auto"/>
        </w:rPr>
      </w:pPr>
    </w:p>
    <w:p>
      <w:pPr>
        <w:ind w:left="427" w:right="720" w:hanging="427"/>
        <w:spacing w:after="0" w:line="267" w:lineRule="auto"/>
        <w:tabs>
          <w:tab w:leader="none" w:pos="42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litigation or administrative proceedings which may be costly whether we win or lose, and which could result in a substantial diversion of our financial and management resources.</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may need to license intellectual property from third parties, and such licenses may not be available or may not be available on commercially reasonable terms.</w:t>
      </w:r>
    </w:p>
    <w:p>
      <w:pPr>
        <w:spacing w:after="0" w:line="191" w:lineRule="exact"/>
        <w:rPr>
          <w:sz w:val="20"/>
          <w:szCs w:val="20"/>
          <w:color w:val="auto"/>
        </w:rPr>
      </w:pPr>
    </w:p>
    <w:p>
      <w:pPr>
        <w:ind w:left="7" w:firstLine="560"/>
        <w:spacing w:after="0" w:line="251" w:lineRule="auto"/>
        <w:rPr>
          <w:sz w:val="20"/>
          <w:szCs w:val="20"/>
          <w:color w:val="auto"/>
        </w:rPr>
      </w:pPr>
      <w:r>
        <w:rPr>
          <w:rFonts w:ascii="Times New Roman" w:cs="Times New Roman" w:eastAsia="Times New Roman" w:hAnsi="Times New Roman"/>
          <w:sz w:val="16"/>
          <w:szCs w:val="16"/>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w:t>
      </w:r>
    </w:p>
    <w:p>
      <w:pPr>
        <w:spacing w:after="0" w:line="164"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7"/>
          </w:cols>
          <w:pgMar w:left="313" w:top="520" w:right="379" w:bottom="1440" w:gutter="0" w:footer="0" w:header="0"/>
        </w:sectPr>
      </w:pPr>
    </w:p>
    <w:bookmarkStart w:id="27" w:name="page28"/>
    <w:bookmarkEnd w:id="27"/>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91" w:lineRule="exact"/>
        <w:rPr>
          <w:sz w:val="20"/>
          <w:szCs w:val="20"/>
          <w:color w:val="auto"/>
        </w:rPr>
      </w:pPr>
    </w:p>
    <w:p>
      <w:pPr>
        <w:ind w:left="7" w:firstLine="560"/>
        <w:spacing w:after="0" w:line="246" w:lineRule="auto"/>
        <w:rPr>
          <w:sz w:val="20"/>
          <w:szCs w:val="20"/>
          <w:color w:val="auto"/>
        </w:rPr>
      </w:pPr>
      <w:r>
        <w:rPr>
          <w:rFonts w:ascii="Times New Roman" w:cs="Times New Roman" w:eastAsia="Times New Roman" w:hAnsi="Times New Roman"/>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Owning Shares of Our Common Stock</w:t>
      </w:r>
    </w:p>
    <w:p>
      <w:pPr>
        <w:spacing w:after="0" w:line="189" w:lineRule="exact"/>
        <w:rPr>
          <w:sz w:val="20"/>
          <w:szCs w:val="20"/>
          <w:color w:val="auto"/>
        </w:rPr>
      </w:pPr>
    </w:p>
    <w:p>
      <w:pPr>
        <w:ind w:left="7" w:right="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share price may be volatile, which could subject us to securities class action lawsuits and prevent you from being able to sell your shares at or above the price at which you purchased them.</w:t>
      </w:r>
    </w:p>
    <w:p>
      <w:pPr>
        <w:spacing w:after="0" w:line="148"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Our stock could be subject to wide fluctuations in response to many risk factors listed in this section, and others beyond our control, including:</w:t>
      </w:r>
    </w:p>
    <w:p>
      <w:pPr>
        <w:spacing w:after="0" w:line="189" w:lineRule="exact"/>
        <w:rPr>
          <w:sz w:val="20"/>
          <w:szCs w:val="20"/>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our clinical trials;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trials of our competitors’ products;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actions with respect to our products or our competitors’ products;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financial condition and operating results;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growth rate relative to our competitors;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competitors’ operating results or changes in their growth rate;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existing products or new products that may emerge;</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joint ventures, collaborations or capital commitments;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new or updated research or reports by securities analysts;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valuation of companies perceived by investors to be comparable to us;</w:t>
      </w:r>
    </w:p>
    <w:p>
      <w:pPr>
        <w:spacing w:after="0" w:line="189" w:lineRule="exact"/>
        <w:rPr>
          <w:rFonts w:ascii="Times New Roman" w:cs="Times New Roman" w:eastAsia="Times New Roman" w:hAnsi="Times New Roman"/>
          <w:sz w:val="16"/>
          <w:szCs w:val="16"/>
          <w:color w:val="auto"/>
        </w:rPr>
      </w:pPr>
    </w:p>
    <w:p>
      <w:pPr>
        <w:ind w:left="427" w:right="620" w:hanging="427"/>
        <w:spacing w:after="0" w:line="267" w:lineRule="auto"/>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delisting of the Company’s common shares from the exchange on which they trade due to the Company not being in compliance with the listing requirements of the exchange;</w:t>
      </w:r>
    </w:p>
    <w:p>
      <w:pPr>
        <w:spacing w:after="0" w:line="150"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price and volume fluctuations attributable to inconsistent trading volume levels of our shares;</w:t>
      </w:r>
    </w:p>
    <w:p>
      <w:pPr>
        <w:spacing w:after="0" w:line="18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18" w:right="339" w:bottom="1440" w:gutter="0" w:footer="0" w:header="0"/>
        </w:sectPr>
      </w:pPr>
    </w:p>
    <w:bookmarkStart w:id="28" w:name="page29"/>
    <w:bookmarkEnd w:id="28"/>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management or scientific personnel;</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related to proprietary rights, including patents, litigation matters and our ability to obtain patent protection for our technologies;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or our other shareholders;</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for biopharmaceutical stocks in general; and</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w:t>
      </w:r>
    </w:p>
    <w:p>
      <w:pPr>
        <w:spacing w:after="0" w:line="189" w:lineRule="exact"/>
        <w:rPr>
          <w:sz w:val="20"/>
          <w:szCs w:val="20"/>
          <w:color w:val="auto"/>
        </w:rPr>
      </w:pPr>
    </w:p>
    <w:p>
      <w:pPr>
        <w:ind w:left="7" w:right="40" w:firstLine="389"/>
        <w:spacing w:after="0" w:line="288" w:lineRule="auto"/>
        <w:rPr>
          <w:sz w:val="20"/>
          <w:szCs w:val="20"/>
          <w:color w:val="auto"/>
        </w:rPr>
      </w:pPr>
      <w:r>
        <w:rPr>
          <w:rFonts w:ascii="Times New Roman" w:cs="Times New Roman" w:eastAsia="Times New Roman" w:hAnsi="Times New Roman"/>
          <w:sz w:val="14"/>
          <w:szCs w:val="14"/>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particular, stock markets have experienced extreme volatility in the first quarter of 2020 due to the ongoing coronavirus pandemic and investor concerns and uncertainty related to the impact of the outbreak on the economies of countries worldwide.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does not exceed your buying price, you may not realize any return on your investment in us and may lose some or all of your investment.</w:t>
      </w:r>
    </w:p>
    <w:p>
      <w:pPr>
        <w:spacing w:after="0" w:line="1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i w:val="1"/>
          <w:iCs w:val="1"/>
          <w:color w:val="auto"/>
        </w:rPr>
        <w:t>Our directors, executive officers and principal shareholders continue to have substantial control over our company and could delay or prevent a change in corporate control.</w:t>
      </w:r>
    </w:p>
    <w:p>
      <w:pPr>
        <w:spacing w:after="0" w:line="214" w:lineRule="exact"/>
        <w:rPr>
          <w:sz w:val="20"/>
          <w:szCs w:val="20"/>
          <w:color w:val="auto"/>
        </w:rPr>
      </w:pPr>
    </w:p>
    <w:p>
      <w:pPr>
        <w:ind w:left="7" w:firstLine="389"/>
        <w:spacing w:after="0" w:line="293" w:lineRule="auto"/>
        <w:rPr>
          <w:sz w:val="20"/>
          <w:szCs w:val="20"/>
          <w:color w:val="auto"/>
        </w:rPr>
      </w:pPr>
      <w:r>
        <w:rPr>
          <w:rFonts w:ascii="Times New Roman" w:cs="Times New Roman" w:eastAsia="Times New Roman" w:hAnsi="Times New Roman"/>
          <w:sz w:val="14"/>
          <w:szCs w:val="14"/>
          <w:color w:val="auto"/>
        </w:rPr>
        <w:t>As of March 13, 2026 our directors, executive officers and principal shareholders, together with their affiliates, beneficially own, in the aggregate, at least 8.2 million shares or approximately 27.0% of our outstanding common stock, and could own approximately 10.8 million shares or approximately 32.8% of our outstanding common stock if they fully exercise their outstanding stock options.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the Company. Accordingly, this concentration of ownership may harm the market price of our common stock by:</w:t>
      </w:r>
    </w:p>
    <w:p>
      <w:pPr>
        <w:spacing w:after="0" w:line="138" w:lineRule="exact"/>
        <w:rPr>
          <w:sz w:val="20"/>
          <w:szCs w:val="20"/>
          <w:color w:val="auto"/>
        </w:rPr>
      </w:pPr>
    </w:p>
    <w:p>
      <w:pPr>
        <w:ind w:left="407" w:hanging="407"/>
        <w:spacing w:after="0"/>
        <w:tabs>
          <w:tab w:leader="none" w:pos="40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delaying, deferring or preventing a change in control of the Company;</w:t>
      </w:r>
    </w:p>
    <w:p>
      <w:pPr>
        <w:spacing w:after="0" w:line="189" w:lineRule="exact"/>
        <w:rPr>
          <w:rFonts w:ascii="Times New Roman" w:cs="Times New Roman" w:eastAsia="Times New Roman" w:hAnsi="Times New Roman"/>
          <w:sz w:val="16"/>
          <w:szCs w:val="16"/>
          <w:color w:val="auto"/>
        </w:rPr>
      </w:pPr>
    </w:p>
    <w:p>
      <w:pPr>
        <w:ind w:left="447" w:hanging="447"/>
        <w:spacing w:after="0"/>
        <w:tabs>
          <w:tab w:leader="none" w:pos="44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impeding a merger, consolidation, takeover or other business combination involving the Company; or</w:t>
      </w:r>
    </w:p>
    <w:p>
      <w:pPr>
        <w:spacing w:after="0" w:line="189" w:lineRule="exact"/>
        <w:rPr>
          <w:rFonts w:ascii="Times New Roman" w:cs="Times New Roman" w:eastAsia="Times New Roman" w:hAnsi="Times New Roman"/>
          <w:sz w:val="16"/>
          <w:szCs w:val="16"/>
          <w:color w:val="auto"/>
        </w:rPr>
      </w:pPr>
    </w:p>
    <w:p>
      <w:pPr>
        <w:ind w:left="447" w:hanging="447"/>
        <w:spacing w:after="0"/>
        <w:tabs>
          <w:tab w:leader="none" w:pos="44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discouraging a potential acquirer from making a tender offer or otherwise attempting to obtain control of the Company.</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have broad discretion in the use of the net proceeds from the Janssen Transaction and may not use them effectively.</w:t>
      </w:r>
    </w:p>
    <w:p>
      <w:pPr>
        <w:spacing w:after="0" w:line="191" w:lineRule="exact"/>
        <w:rPr>
          <w:sz w:val="20"/>
          <w:szCs w:val="20"/>
          <w:color w:val="auto"/>
        </w:rPr>
      </w:pPr>
    </w:p>
    <w:p>
      <w:pPr>
        <w:ind w:left="7" w:right="160" w:firstLine="389"/>
        <w:spacing w:after="0" w:line="189" w:lineRule="exact"/>
        <w:rPr>
          <w:sz w:val="20"/>
          <w:szCs w:val="20"/>
          <w:color w:val="auto"/>
        </w:rPr>
      </w:pPr>
      <w:r>
        <w:rPr>
          <w:rFonts w:ascii="Times New Roman" w:cs="Times New Roman" w:eastAsia="Times New Roman" w:hAnsi="Times New Roman"/>
          <w:sz w:val="14"/>
          <w:szCs w:val="14"/>
          <w:color w:val="auto"/>
        </w:rPr>
        <w:t>We intend to continue to allocate the net proceeds that we received from our public offerings and the Janssen Transaction to fund discovery and development of our next generation True Human™ anti-IL-1</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antibody program and to advance other antibody therapeutics in our pipeline. However, our management will have broad discretion in the actual application of the net proceeds, and we may elect to allocate proceeds differently if we believe it would be in our best interests to do so. For example, in February 2020, we completed a cash tender offer in which we repurchased $420 million of our common shares. In July 2021, we distributed a $75 million cash dividend to our shareholders. Our shareholders may not agree with the manner in which our management chooses to allocate and spend the net proceeds. Our management may also fail to apply these funds effectively, which could have a material adverse effect on our business. We may invest our cash on hand in a manner that does not produce income or that loses value.</w:t>
      </w:r>
    </w:p>
    <w:p>
      <w:pPr>
        <w:spacing w:after="0" w:line="17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in our charter documents under Canadian law could make an acquisition of us, which may be beneficial to our shareholders, more difficult.</w:t>
      </w:r>
    </w:p>
    <w:p>
      <w:pPr>
        <w:spacing w:after="0" w:line="191" w:lineRule="exact"/>
        <w:rPr>
          <w:sz w:val="20"/>
          <w:szCs w:val="20"/>
          <w:color w:val="auto"/>
        </w:rPr>
      </w:pPr>
    </w:p>
    <w:p>
      <w:pPr>
        <w:ind w:right="240" w:firstLine="389"/>
        <w:spacing w:after="0" w:line="255" w:lineRule="auto"/>
        <w:rPr>
          <w:sz w:val="20"/>
          <w:szCs w:val="20"/>
          <w:color w:val="auto"/>
        </w:rPr>
      </w:pPr>
      <w:r>
        <w:rPr>
          <w:rFonts w:ascii="Times New Roman" w:cs="Times New Roman" w:eastAsia="Times New Roman" w:hAnsi="Times New Roman"/>
          <w:sz w:val="16"/>
          <w:szCs w:val="16"/>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stock.</w:t>
      </w:r>
    </w:p>
    <w:p>
      <w:pPr>
        <w:spacing w:after="0" w:line="160" w:lineRule="exact"/>
        <w:rPr>
          <w:sz w:val="20"/>
          <w:szCs w:val="20"/>
          <w:color w:val="auto"/>
        </w:rPr>
      </w:pPr>
    </w:p>
    <w:p>
      <w:pPr>
        <w:ind w:right="260" w:firstLine="389"/>
        <w:spacing w:after="0" w:line="248" w:lineRule="auto"/>
        <w:rPr>
          <w:sz w:val="20"/>
          <w:szCs w:val="20"/>
          <w:color w:val="auto"/>
        </w:rPr>
      </w:pPr>
      <w:r>
        <w:rPr>
          <w:rFonts w:ascii="Times New Roman" w:cs="Times New Roman" w:eastAsia="Times New Roman" w:hAnsi="Times New Roman"/>
          <w:sz w:val="16"/>
          <w:szCs w:val="16"/>
          <w:color w:val="auto"/>
        </w:rPr>
        <w:t>Limitations on the ability to acquire and hold our common stock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66" w:lineRule="exact"/>
        <w:rPr>
          <w:sz w:val="20"/>
          <w:szCs w:val="20"/>
          <w:color w:val="auto"/>
        </w:rPr>
      </w:pPr>
    </w:p>
    <w:p>
      <w:pPr>
        <w:ind w:right="340" w:firstLine="389"/>
        <w:spacing w:after="0" w:line="267" w:lineRule="auto"/>
        <w:rPr>
          <w:sz w:val="20"/>
          <w:szCs w:val="20"/>
          <w:color w:val="auto"/>
        </w:rPr>
      </w:pPr>
      <w:r>
        <w:rPr>
          <w:rFonts w:ascii="Times New Roman" w:cs="Times New Roman" w:eastAsia="Times New Roman" w:hAnsi="Times New Roman"/>
          <w:sz w:val="16"/>
          <w:szCs w:val="16"/>
          <w:color w:val="auto"/>
        </w:rPr>
        <w:t>Any of the foregoing could prevent or delay a change of control and may deprive or limit strategic opportunities for our shareholders to sell their shares and/or affect the market price of our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a passive foreign investment company for US tax purposes which may negatively affect US investors.</w:t>
      </w:r>
    </w:p>
    <w:p>
      <w:pPr>
        <w:spacing w:after="0" w:line="191" w:lineRule="exact"/>
        <w:rPr>
          <w:sz w:val="20"/>
          <w:szCs w:val="20"/>
          <w:color w:val="auto"/>
        </w:rPr>
      </w:pPr>
    </w:p>
    <w:p>
      <w:pPr>
        <w:ind w:firstLine="389"/>
        <w:spacing w:after="0" w:line="245" w:lineRule="auto"/>
        <w:rPr>
          <w:sz w:val="20"/>
          <w:szCs w:val="20"/>
          <w:color w:val="auto"/>
        </w:rPr>
      </w:pPr>
      <w:r>
        <w:rPr>
          <w:rFonts w:ascii="Times New Roman" w:cs="Times New Roman" w:eastAsia="Times New Roman" w:hAnsi="Times New Roman"/>
          <w:sz w:val="16"/>
          <w:szCs w:val="16"/>
          <w:color w:val="auto"/>
        </w:rPr>
        <w:t>We do not believe XBiotech is an “Investment Company”; instead, we believe it is a bona fide biopharmaceutical entity engaged in active pharmaceutical R&amp;D, evidenced by the sale of its drug candidate Bermekimab for $750 million and up to $600 million in potential milestone payments and our extensive ongoing R&amp;D activity. However, arbitrary definitions used to define a passive foreign investment company (PFIC) for US tax purposes have made some financial analysts suggest we are a PFIC. Particularly, based on the blind criteria that if 75% or more of gross income is passive income, with nothing else considered, then a company may be held to be a PFIC. Some years we don’t have income, since we only will have income when for example we sell one of our drugs or when we get a drug to market and generate sales. But we do keep the company’s cash in an interest bearing bank account or interest earning instruments. This generates interest income (or passive income) on our funds. We believe that to suggest that such bank account interest makes us a PFIC is absurd; this would suggest that we cannot keep our cash in a bank account and that interest on the Company’s funds supersedes any other consideration in defining the actual operations and essential nature of the Company. XBiotech will never accept an arbitrary and erroneous definition that could potentially penalize the Company and its shareholders and will oppose any effort to do so by the tax authorities. There is a risk that that tax authorities could successfully assert our PFIC status, and in such event shares held by a US person in that year will be PFIC shares for that year and all for subsequent years in which they are held by that person. PFIC rules can apply differently to different US shareholders depending on whether a specific shareholder has made certain elections with respect to the ownership of PFIC shares. Because these rules are complex and apply differently based upon whether and when a US shareholder has made certain elections, new and existing US shareholders should consult with their tax advisors as to the potential tax implications of acquiring, owning and disposing of our stock.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30" w:name="page31"/>
    <w:bookmarkEnd w:id="30"/>
    <w:p>
      <w:pPr>
        <w:ind w:left="7" w:right="1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are governed by the corporate laws in British Columbia, Canada which in some cases have a different effect on shareholders than the corporate laws in Delaware, United States.</w:t>
      </w:r>
    </w:p>
    <w:p>
      <w:pPr>
        <w:spacing w:after="0" w:line="148" w:lineRule="exact"/>
        <w:rPr>
          <w:sz w:val="20"/>
          <w:szCs w:val="20"/>
          <w:color w:val="auto"/>
        </w:rPr>
      </w:pPr>
    </w:p>
    <w:p>
      <w:pPr>
        <w:ind w:left="7" w:right="320" w:firstLine="389"/>
        <w:spacing w:after="0" w:line="267" w:lineRule="auto"/>
        <w:rPr>
          <w:sz w:val="20"/>
          <w:szCs w:val="20"/>
          <w:color w:val="auto"/>
        </w:rPr>
      </w:pPr>
      <w:r>
        <w:rPr>
          <w:rFonts w:ascii="Times New Roman" w:cs="Times New Roman" w:eastAsia="Times New Roman" w:hAnsi="Times New Roman"/>
          <w:sz w:val="16"/>
          <w:szCs w:val="16"/>
          <w:color w:val="auto"/>
        </w:rPr>
        <w:t>The material differences between the BCBCA as compared to the Delaware General Corporation Law (DGCL) which may be of most interest to shareholders include the following:</w:t>
      </w:r>
    </w:p>
    <w:p>
      <w:pPr>
        <w:spacing w:after="0" w:line="151" w:lineRule="exact"/>
        <w:rPr>
          <w:sz w:val="20"/>
          <w:szCs w:val="20"/>
          <w:color w:val="auto"/>
        </w:rPr>
      </w:pPr>
    </w:p>
    <w:p>
      <w:pPr>
        <w:ind w:left="427" w:right="140" w:hanging="427"/>
        <w:spacing w:after="0" w:line="267" w:lineRule="auto"/>
        <w:tabs>
          <w:tab w:leader="none" w:pos="4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material corporate transactions (i.e. mergers and amalgamations, other extraordinary corporate transactions, amendments to our Articles) the BCBCA generally requires two-thirds majority vote by shareholders, whereas DGCL generally only requires a majority vote of shareholders;</w:t>
      </w:r>
    </w:p>
    <w:p>
      <w:pPr>
        <w:spacing w:after="0" w:line="150" w:lineRule="exact"/>
        <w:rPr>
          <w:rFonts w:ascii="Times New Roman" w:cs="Times New Roman" w:eastAsia="Times New Roman" w:hAnsi="Times New Roman"/>
          <w:sz w:val="16"/>
          <w:szCs w:val="16"/>
          <w:color w:val="auto"/>
        </w:rPr>
      </w:pPr>
    </w:p>
    <w:p>
      <w:pPr>
        <w:ind w:left="427" w:right="180" w:hanging="427"/>
        <w:spacing w:after="0" w:line="255" w:lineRule="auto"/>
        <w:tabs>
          <w:tab w:leader="none" w:pos="4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w:t>
      </w:r>
    </w:p>
    <w:p>
      <w:pPr>
        <w:spacing w:after="0" w:line="160" w:lineRule="exact"/>
        <w:rPr>
          <w:rFonts w:ascii="Times New Roman" w:cs="Times New Roman" w:eastAsia="Times New Roman" w:hAnsi="Times New Roman"/>
          <w:sz w:val="16"/>
          <w:szCs w:val="16"/>
          <w:color w:val="auto"/>
        </w:rPr>
      </w:pPr>
    </w:p>
    <w:p>
      <w:pPr>
        <w:ind w:left="427" w:right="260" w:hanging="427"/>
        <w:spacing w:after="0" w:line="267" w:lineRule="auto"/>
        <w:tabs>
          <w:tab w:leader="none" w:pos="4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BCBCA, a holder of 5% or more of our common stock can requisition a special meeting at which any matters that can be voted on at our annual meeting can be considered, whereas the DGCL does not give this right;</w:t>
      </w:r>
    </w:p>
    <w:p>
      <w:pPr>
        <w:spacing w:after="0" w:line="150" w:lineRule="exact"/>
        <w:rPr>
          <w:rFonts w:ascii="Times New Roman" w:cs="Times New Roman" w:eastAsia="Times New Roman" w:hAnsi="Times New Roman"/>
          <w:sz w:val="16"/>
          <w:szCs w:val="16"/>
          <w:color w:val="auto"/>
        </w:rPr>
      </w:pPr>
    </w:p>
    <w:p>
      <w:pPr>
        <w:ind w:left="427" w:right="120" w:hanging="427"/>
        <w:spacing w:after="0" w:line="267" w:lineRule="auto"/>
        <w:tabs>
          <w:tab w:leader="none" w:pos="4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w:t>
      </w:r>
    </w:p>
    <w:p>
      <w:pPr>
        <w:spacing w:after="0" w:line="150" w:lineRule="exact"/>
        <w:rPr>
          <w:rFonts w:ascii="Times New Roman" w:cs="Times New Roman" w:eastAsia="Times New Roman" w:hAnsi="Times New Roman"/>
          <w:sz w:val="16"/>
          <w:szCs w:val="16"/>
          <w:color w:val="auto"/>
        </w:rPr>
      </w:pPr>
    </w:p>
    <w:p>
      <w:pPr>
        <w:ind w:left="427" w:right="300" w:hanging="427"/>
        <w:spacing w:after="0" w:line="255" w:lineRule="auto"/>
        <w:tabs>
          <w:tab w:leader="none" w:pos="4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w:t>
      </w:r>
    </w:p>
    <w:p>
      <w:pPr>
        <w:spacing w:after="0" w:line="160" w:lineRule="exact"/>
        <w:rPr>
          <w:sz w:val="20"/>
          <w:szCs w:val="20"/>
          <w:color w:val="auto"/>
        </w:rPr>
      </w:pPr>
    </w:p>
    <w:p>
      <w:pPr>
        <w:ind w:left="7" w:right="180"/>
        <w:spacing w:after="0" w:line="267" w:lineRule="auto"/>
        <w:rPr>
          <w:sz w:val="20"/>
          <w:szCs w:val="20"/>
          <w:color w:val="auto"/>
        </w:rPr>
      </w:pPr>
      <w:r>
        <w:rPr>
          <w:rFonts w:ascii="Times New Roman" w:cs="Times New Roman" w:eastAsia="Times New Roman" w:hAnsi="Times New Roman"/>
          <w:sz w:val="16"/>
          <w:szCs w:val="16"/>
          <w:color w:val="auto"/>
        </w:rPr>
        <w:t>We cannot predict if investors will find our common stock less attractive because of these material differences. If some investors find our common stock less attractive as a result, there may be a less active trading market for our common stock and our share price may be more volatile.</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existing shareholders, restrict our operations or require us to relinquish rights to our technologies or product candidates.</w:t>
      </w:r>
    </w:p>
    <w:p>
      <w:pPr>
        <w:spacing w:after="0" w:line="214" w:lineRule="exact"/>
        <w:rPr>
          <w:sz w:val="20"/>
          <w:szCs w:val="20"/>
          <w:color w:val="auto"/>
        </w:rPr>
      </w:pPr>
    </w:p>
    <w:p>
      <w:pPr>
        <w:ind w:left="7" w:right="40" w:firstLine="389"/>
        <w:spacing w:after="0" w:line="247" w:lineRule="auto"/>
        <w:rPr>
          <w:sz w:val="20"/>
          <w:szCs w:val="20"/>
          <w:color w:val="auto"/>
        </w:rPr>
      </w:pPr>
      <w:r>
        <w:rPr>
          <w:rFonts w:ascii="Times New Roman" w:cs="Times New Roman" w:eastAsia="Times New Roman" w:hAnsi="Times New Roman"/>
          <w:sz w:val="16"/>
          <w:szCs w:val="16"/>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Future sales, or the possibility of future sales, of a substantial number of our common stock could adversely affect the price of the shares and dilute shareholders.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may have a limited ability to use some or all of our net operating loss and research tax credit carryforwards in the future.</w:t>
      </w:r>
    </w:p>
    <w:p>
      <w:pPr>
        <w:spacing w:after="0" w:line="191" w:lineRule="exact"/>
        <w:rPr>
          <w:sz w:val="20"/>
          <w:szCs w:val="20"/>
          <w:color w:val="auto"/>
        </w:rPr>
      </w:pPr>
    </w:p>
    <w:p>
      <w:pPr>
        <w:ind w:left="7" w:firstLine="389"/>
        <w:spacing w:after="0" w:line="249" w:lineRule="auto"/>
        <w:rPr>
          <w:sz w:val="20"/>
          <w:szCs w:val="20"/>
          <w:color w:val="auto"/>
        </w:rPr>
      </w:pPr>
      <w:r>
        <w:rPr>
          <w:rFonts w:ascii="Times New Roman" w:cs="Times New Roman" w:eastAsia="Times New Roman" w:hAnsi="Times New Roman"/>
          <w:sz w:val="16"/>
          <w:szCs w:val="16"/>
          <w:color w:val="auto"/>
        </w:rPr>
        <w:t>As a result of prior operating losses and research and development activities, we have net operating loss, or “NOL,” and research tax credit carryforwards (collectively, the “carryforwards”) for U.S. federal income tax purposes. Under Section 382 of the Internal Revenue Code of 1986, as amended, substantial changes in the Company’s ownership may limit the amount of carryforwards that could be utilized annually in the future to offset U.S. taxable income and/or income tax. Specifically, this limitation may arise in the event of a cumulative change in ownership of the Company of more than 50% within a three-year period. Any such annual limitation may significantly reduce the utilization of the carryforwards before they expire.</w:t>
      </w:r>
    </w:p>
    <w:p>
      <w:pPr>
        <w:spacing w:after="0" w:line="16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18" w:right="339" w:bottom="1440" w:gutter="0" w:footer="0" w:header="0"/>
        </w:sectPr>
      </w:pPr>
    </w:p>
    <w:bookmarkStart w:id="31" w:name="page32"/>
    <w:bookmarkEnd w:id="31"/>
    <w:p>
      <w:pPr>
        <w:ind w:right="120" w:firstLine="389"/>
        <w:spacing w:after="0" w:line="267" w:lineRule="auto"/>
        <w:rPr>
          <w:sz w:val="20"/>
          <w:szCs w:val="20"/>
          <w:color w:val="auto"/>
        </w:rPr>
      </w:pPr>
      <w:r>
        <w:rPr>
          <w:rFonts w:ascii="Times New Roman" w:cs="Times New Roman" w:eastAsia="Times New Roman" w:hAnsi="Times New Roman"/>
          <w:sz w:val="16"/>
          <w:szCs w:val="16"/>
          <w:color w:val="auto"/>
        </w:rPr>
        <w:t>Future sales of a substantial number of our common stock, or the perception that such sales will occur, could cause a decline in the market price of our common stock. As of March 13, 2026, we had 30,487,731 common shares outstanding.</w:t>
      </w:r>
    </w:p>
    <w:p>
      <w:pPr>
        <w:spacing w:after="0" w:line="151" w:lineRule="exact"/>
        <w:rPr>
          <w:sz w:val="20"/>
          <w:szCs w:val="20"/>
          <w:color w:val="auto"/>
        </w:rPr>
      </w:pPr>
    </w:p>
    <w:p>
      <w:pPr>
        <w:ind w:right="680" w:firstLine="389"/>
        <w:spacing w:after="0" w:line="340" w:lineRule="auto"/>
        <w:rPr>
          <w:sz w:val="20"/>
          <w:szCs w:val="20"/>
          <w:color w:val="auto"/>
        </w:rPr>
      </w:pPr>
      <w:r>
        <w:rPr>
          <w:rFonts w:ascii="Times New Roman" w:cs="Times New Roman" w:eastAsia="Times New Roman" w:hAnsi="Times New Roman"/>
          <w:sz w:val="14"/>
          <w:szCs w:val="14"/>
          <w:color w:val="auto"/>
        </w:rPr>
        <w:t>In the future, we may issue additional common stock or other equity into common stock in connection with a financing, acquisition, litigation settlement, employee arrangements or otherwise. Any such issuance could result in substantial dilution to our existing shareholders and could cause our common share price to decline.</w:t>
      </w:r>
    </w:p>
    <w:p>
      <w:pPr>
        <w:spacing w:after="0" w:line="1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spacing w:after="0" w:line="148" w:lineRule="exact"/>
        <w:rPr>
          <w:sz w:val="20"/>
          <w:szCs w:val="20"/>
          <w:color w:val="auto"/>
        </w:rPr>
      </w:pPr>
    </w:p>
    <w:p>
      <w:pPr>
        <w:ind w:firstLine="389"/>
        <w:spacing w:after="0" w:line="248"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60" w:firstLine="389"/>
        <w:spacing w:after="0" w:line="251" w:lineRule="auto"/>
        <w:rPr>
          <w:sz w:val="20"/>
          <w:szCs w:val="20"/>
          <w:color w:val="auto"/>
        </w:rPr>
      </w:pPr>
      <w:r>
        <w:rPr>
          <w:rFonts w:ascii="Times New Roman" w:cs="Times New Roman" w:eastAsia="Times New Roman" w:hAnsi="Times New Roman"/>
          <w:sz w:val="16"/>
          <w:szCs w:val="16"/>
          <w:color w:val="auto"/>
        </w:rPr>
        <w:t>We are required to disclose changes made in our internal controls and procedures on a quarterly basis and our management is required to assess the effectiveness of these controls annually. However, for as long as we are a “smaller reporting company” with under $100 million in annual revenue,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200" w:lineRule="exact"/>
        <w:rPr>
          <w:sz w:val="20"/>
          <w:szCs w:val="20"/>
          <w:color w:val="auto"/>
        </w:rPr>
      </w:pPr>
    </w:p>
    <w:p>
      <w:pPr>
        <w:spacing w:after="0" w:line="202" w:lineRule="exact"/>
        <w:rPr>
          <w:sz w:val="20"/>
          <w:szCs w:val="20"/>
          <w:color w:val="auto"/>
        </w:rPr>
      </w:pPr>
    </w:p>
    <w:p>
      <w:pPr>
        <w:ind w:firstLine="560"/>
        <w:spacing w:after="0" w:line="248" w:lineRule="auto"/>
        <w:rPr>
          <w:sz w:val="20"/>
          <w:szCs w:val="20"/>
          <w:color w:val="auto"/>
        </w:rPr>
      </w:pPr>
      <w:r>
        <w:rPr>
          <w:rFonts w:ascii="Times New Roman" w:cs="Times New Roman" w:eastAsia="Times New Roman" w:hAnsi="Times New Roman"/>
          <w:sz w:val="16"/>
          <w:szCs w:val="16"/>
          <w:color w:val="auto"/>
        </w:rPr>
        <w:t>We employ processes and tools for assessing, identifying, and managing material risks from cybersecurity threats. These processes and tools are intended to help protect our information assets from internal and external threats and protect the integrity and confidentiality of our data. Our processes and tools include procedural and technical safeguards, response plans, and reviews of our policies. We employ experienced information technology personnel to deploy and oversee these safeguards and to consult with members of our senior management team, including our Chief Executive Officer and our Principal Financial Officer and Principal Accounting Officer, regarding cybersecurity matters when appropriate. Our Audit Committee is provided an opportunity during each quarterly meeting to inquire regarding material cybersecurity threats, deficiencies, and other issues in discussion with members of management. We provide all employees and consultants with cybersecurity and prevention training.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32" w:name="page33"/>
    <w:bookmarkEnd w:id="32"/>
    <w:p>
      <w:pPr>
        <w:ind w:right="200" w:firstLine="560"/>
        <w:spacing w:after="0" w:line="248" w:lineRule="auto"/>
        <w:rPr>
          <w:sz w:val="20"/>
          <w:szCs w:val="20"/>
          <w:color w:val="auto"/>
        </w:rPr>
      </w:pPr>
      <w:r>
        <w:rPr>
          <w:rFonts w:ascii="Times New Roman" w:cs="Times New Roman" w:eastAsia="Times New Roman" w:hAnsi="Times New Roman"/>
          <w:sz w:val="16"/>
          <w:szCs w:val="16"/>
          <w:color w:val="auto"/>
        </w:rPr>
        <w:t>Although we develop and maintain processes and tools designed to prevent cybersecurity threats from occurring, and to identify and mitigate threats, the possibility of these events occurring cannot be eliminated entirely. As we engage in more electronic transactions, rely more on cloud-based information systems, and utilize outside vendors or service providers that have access to our electronic information, the related security risks will increase, and we will likely need to expend additional resources to protect our technology and information systems. In addition, there can be no assurance that our information technology systems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66" w:lineRule="exact"/>
        <w:rPr>
          <w:sz w:val="20"/>
          <w:szCs w:val="20"/>
          <w:color w:val="auto"/>
        </w:rPr>
      </w:pPr>
    </w:p>
    <w:p>
      <w:pPr>
        <w:ind w:right="500" w:firstLine="560"/>
        <w:spacing w:after="0" w:line="267" w:lineRule="auto"/>
        <w:rPr>
          <w:sz w:val="20"/>
          <w:szCs w:val="20"/>
          <w:color w:val="auto"/>
        </w:rPr>
      </w:pPr>
      <w:r>
        <w:rPr>
          <w:rFonts w:ascii="Times New Roman" w:cs="Times New Roman" w:eastAsia="Times New Roman" w:hAnsi="Times New Roman"/>
          <w:sz w:val="16"/>
          <w:szCs w:val="16"/>
          <w:color w:val="auto"/>
        </w:rPr>
        <w:t>As of the date of this Annual Report, we are not aware of any risks from cybersecurity threats, including because of any previous cybersecurity incidents, that have materially affected or are reasonably likely to materially affect us, including our business strategy, results of operations, or financial condition.</w:t>
      </w:r>
    </w:p>
    <w:p>
      <w:pPr>
        <w:spacing w:after="0" w:line="3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91" w:lineRule="exact"/>
        <w:rPr>
          <w:sz w:val="20"/>
          <w:szCs w:val="20"/>
          <w:color w:val="auto"/>
        </w:rPr>
      </w:pPr>
    </w:p>
    <w:p>
      <w:pPr>
        <w:ind w:firstLine="560"/>
        <w:spacing w:after="0" w:line="290" w:lineRule="auto"/>
        <w:rPr>
          <w:sz w:val="20"/>
          <w:szCs w:val="20"/>
          <w:color w:val="auto"/>
        </w:rPr>
      </w:pPr>
      <w:r>
        <w:rPr>
          <w:rFonts w:ascii="Times New Roman" w:cs="Times New Roman" w:eastAsia="Times New Roman" w:hAnsi="Times New Roman"/>
          <w:sz w:val="14"/>
          <w:szCs w:val="14"/>
          <w:color w:val="auto"/>
        </w:rPr>
        <w:t>The Company owns 48 acres of industrial-zoned property located five miles from Austin’s central business district at the address of 5217 Winnebago Ln, Austin, TX, 78744. In 2016, the Company built a new combined R&amp;D and manufacturing facility on this property. The Company uses this facility to conduct research, discover new product candidates, produce products for clinical studies and provide administrative space to support its drug development and other activities. In 2019, XBiotech constructed a new facility to house infectious disease and animal facilities. Located in a separate building on our campus, just a short walk from the Company’s main manufacturing headquarters, the new facility incorporates an animal biological safety level 2 (ABSL2) laboratory and other laboratories for developing and testing Company’s True Human™ antibodies against infectious disease targets. XBiotech owns the 48-acre campus—and all structures on the property—debt-free and envisions further expansion of facilities on the property.</w:t>
      </w:r>
    </w:p>
    <w:p>
      <w:pPr>
        <w:spacing w:after="0" w:line="13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is not currently subject to any material legal proceedings.</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520"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COMMON EQUITY, RELATED STOCKHOLDER MATTERS AND ISSUER PURCHASES OF EQUITY</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1" w:lineRule="exact"/>
        <w:rPr>
          <w:sz w:val="20"/>
          <w:szCs w:val="20"/>
          <w:color w:val="auto"/>
        </w:rPr>
      </w:pPr>
    </w:p>
    <w:p>
      <w:pPr>
        <w:ind w:right="180" w:firstLine="560"/>
        <w:spacing w:after="0" w:line="247" w:lineRule="auto"/>
        <w:rPr>
          <w:sz w:val="20"/>
          <w:szCs w:val="20"/>
          <w:color w:val="auto"/>
        </w:rPr>
      </w:pPr>
      <w:r>
        <w:rPr>
          <w:rFonts w:ascii="Times New Roman" w:cs="Times New Roman" w:eastAsia="Times New Roman" w:hAnsi="Times New Roman"/>
          <w:sz w:val="16"/>
          <w:szCs w:val="16"/>
          <w:color w:val="auto"/>
        </w:rPr>
        <w:t>Our common stock began trading on the NASDAQ Global Select Market on April 15, 2015 under the symbol “XBIT.” Prior to that time, there was no established public trading market for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21" w:lineRule="exact"/>
        <w:rPr>
          <w:sz w:val="20"/>
          <w:szCs w:val="20"/>
          <w:color w:val="auto"/>
        </w:rPr>
      </w:pPr>
    </w:p>
    <w:p>
      <w:pPr>
        <w:ind w:right="20" w:firstLine="560"/>
        <w:spacing w:after="0" w:line="247" w:lineRule="auto"/>
        <w:rPr>
          <w:sz w:val="20"/>
          <w:szCs w:val="20"/>
          <w:color w:val="auto"/>
        </w:rPr>
      </w:pPr>
      <w:r>
        <w:rPr>
          <w:rFonts w:ascii="Times New Roman" w:cs="Times New Roman" w:eastAsia="Times New Roman" w:hAnsi="Times New Roman"/>
          <w:sz w:val="16"/>
          <w:szCs w:val="16"/>
          <w:color w:val="auto"/>
        </w:rPr>
        <w:t>There were 8 record holders of our common stock registered with the transfer agent as of March 13, 2026. The actual number of shareholders is greater than this number of record holders and includes shareholders who are the beneficial owners of shares registered in the name of brokers, banks or other agents.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1" w:lineRule="exact"/>
        <w:rPr>
          <w:sz w:val="20"/>
          <w:szCs w:val="20"/>
          <w:color w:val="auto"/>
        </w:rPr>
      </w:pPr>
    </w:p>
    <w:p>
      <w:pPr>
        <w:ind w:firstLine="560"/>
        <w:spacing w:after="0" w:line="244" w:lineRule="auto"/>
        <w:rPr>
          <w:sz w:val="20"/>
          <w:szCs w:val="20"/>
          <w:color w:val="auto"/>
        </w:rPr>
      </w:pPr>
      <w:r>
        <w:rPr>
          <w:rFonts w:ascii="Times New Roman" w:cs="Times New Roman" w:eastAsia="Times New Roman" w:hAnsi="Times New Roman"/>
          <w:sz w:val="16"/>
          <w:szCs w:val="16"/>
          <w:color w:val="auto"/>
        </w:rPr>
        <w:t>In July 2021, we paid $2.50 per share in dividends to shareholders. We currently intend to retain any earnings for future growth and, therefore, do not expect comparable cash dividends will continue to be paid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3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OPERATIONS</w:t>
      </w:r>
    </w:p>
    <w:p>
      <w:pPr>
        <w:spacing w:after="0" w:line="189" w:lineRule="exact"/>
        <w:rPr>
          <w:sz w:val="20"/>
          <w:szCs w:val="20"/>
          <w:color w:val="auto"/>
        </w:rPr>
      </w:pPr>
    </w:p>
    <w:p>
      <w:pPr>
        <w:ind w:right="20" w:firstLine="560"/>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of our financial condition and results of operations together with our audited consolidated financial statements for the year ended December 31, 2025 and related notes thereto, which have been prepared in accordance with U.S. GAAP,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within the meaning of Section 27A of the Securities Act of 1933, as amended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Section 21E of the Securities Exchange Act of 1934, as amended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is subject to the safe harbor created by those sections. As a result of many factors, including those factors set forth in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section of this annual report on Form 10-K, our actual results could differ materially from the results described in or implied by the forward-looking statements contained in the following discussion and analysis. For more information,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Cautionary Statement About 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 particular, we encourage you to review the risks and uncertainties described in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 this annual report on Form 10-K. These forward-looking statements are made as of the date of this report, and we do not intend, and do not assume any obligation, to update these forward-looking statements, except as required by law. All dollar amounts stated herein are in U.S. dollars unless specified otherwise.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64" w:lineRule="exact"/>
        <w:rPr>
          <w:sz w:val="20"/>
          <w:szCs w:val="20"/>
          <w:color w:val="auto"/>
        </w:rPr>
      </w:pPr>
    </w:p>
    <w:p>
      <w:pPr>
        <w:ind w:right="100" w:firstLine="560"/>
        <w:spacing w:after="0" w:line="248" w:lineRule="auto"/>
        <w:rPr>
          <w:sz w:val="20"/>
          <w:szCs w:val="20"/>
          <w:color w:val="auto"/>
        </w:rPr>
      </w:pPr>
      <w:r>
        <w:rPr>
          <w:rFonts w:ascii="Times New Roman" w:cs="Times New Roman" w:eastAsia="Times New Roman" w:hAnsi="Times New Roman"/>
          <w:sz w:val="16"/>
          <w:szCs w:val="16"/>
          <w:color w:val="auto"/>
        </w:rPr>
        <w:t>Following the Janssen Transaction in December 2019, the tender offer in February 2020, and the dividends paid in July 2021, our accumulated deficit as of December 31, 2025 was ($136.3) million. We had a net loss of $45.5 million for the year ended December 31, 2025, compared to a net loss of $38.5 million for the year ended December 31, 2024. During the fiscal year of 2026, we don’t expect to generate any revenue. In addition, we expect to incur significant and increasing operating losses for the foreseeable future as we advance our drug candidates from discovery through preclinical testing and clinical. In addition to these research and development expenses, we expect general and administrative costs to increase, particularly in consideration of current inflationary trends. We will need to generate significant revenues to achieve or sustain profitability, and we may never do so. As of December 31, 2025, we had 85 employees.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91" w:lineRule="exact"/>
        <w:rPr>
          <w:sz w:val="20"/>
          <w:szCs w:val="20"/>
          <w:color w:val="auto"/>
        </w:rPr>
      </w:pPr>
    </w:p>
    <w:p>
      <w:pPr>
        <w:ind w:right="100" w:firstLine="560"/>
        <w:spacing w:after="0" w:line="249" w:lineRule="auto"/>
        <w:rPr>
          <w:sz w:val="20"/>
          <w:szCs w:val="20"/>
          <w:color w:val="auto"/>
        </w:rPr>
      </w:pPr>
      <w:r>
        <w:rPr>
          <w:rFonts w:ascii="Times New Roman" w:cs="Times New Roman" w:eastAsia="Times New Roman" w:hAnsi="Times New Roman"/>
          <w:sz w:val="16"/>
          <w:szCs w:val="16"/>
          <w:color w:val="auto"/>
        </w:rPr>
        <w:t>Prior to receiving payments under the clinical manufacturing agreement entered in connection with the Janssen Transaction, we had not generated any revenue. Under the clinical manufacturing agreement, we manufactured Bermekimab for use by Janssen in clinical trials, in exchange for fixed payments, paid in quarterly installments through 2021. In February 2022, we entered a new manufacturing contract with a Janssen-related company whereby we continued to manufacture Bermekimab through November 2022. The contract terminated in November 2022. Our ability to generate any additional revenue and/or to become profitable (or sustain any profitability) depends on our ability to successfully commercialize any product candidates we may advance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91" w:lineRule="exact"/>
        <w:rPr>
          <w:sz w:val="20"/>
          <w:szCs w:val="20"/>
          <w:color w:val="auto"/>
        </w:rPr>
      </w:pPr>
    </w:p>
    <w:p>
      <w:pPr>
        <w:ind w:right="120" w:firstLine="560"/>
        <w:spacing w:after="0" w:line="309" w:lineRule="auto"/>
        <w:rPr>
          <w:sz w:val="20"/>
          <w:szCs w:val="20"/>
          <w:color w:val="auto"/>
        </w:rPr>
      </w:pPr>
      <w:r>
        <w:rPr>
          <w:rFonts w:ascii="Times New Roman" w:cs="Times New Roman" w:eastAsia="Times New Roman" w:hAnsi="Times New Roman"/>
          <w:sz w:val="14"/>
          <w:szCs w:val="14"/>
          <w:color w:val="auto"/>
        </w:rPr>
        <w:t>Research and development expense consists of expenses incurred in connection with identifying and developing our drug candidates. These expenses consist primarily of salaries and related expenses, share-based compensation,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clinical development costs may further increase going forward with potentially more advanced studies in the future as we evaluate our clinical data and pipeline.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35" w:name="page36"/>
    <w:bookmarkEnd w:id="35"/>
    <w:p>
      <w:pPr>
        <w:ind w:right="100" w:firstLine="560"/>
        <w:spacing w:after="0" w:line="248" w:lineRule="auto"/>
        <w:rPr>
          <w:sz w:val="20"/>
          <w:szCs w:val="20"/>
          <w:color w:val="auto"/>
        </w:rPr>
      </w:pPr>
      <w:r>
        <w:rPr>
          <w:rFonts w:ascii="Times New Roman" w:cs="Times New Roman" w:eastAsia="Times New Roman" w:hAnsi="Times New Roman"/>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2025, we have recorded total research and development expenses, including share-based compensation, of $397.1 million. Our total research and development expenses for the year ended December 31, 2025 was $47.4 million, compared to $37.8 million the year ended December 31, 2024. Share-based compensation accounted for $2.7 million for the year ended December 31, 2025 and $1.1 million for the year ended December 31, 2024.</w:t>
      </w:r>
    </w:p>
    <w:p>
      <w:pPr>
        <w:spacing w:after="0" w:line="166" w:lineRule="exact"/>
        <w:rPr>
          <w:sz w:val="20"/>
          <w:szCs w:val="20"/>
          <w:color w:val="auto"/>
        </w:rPr>
      </w:pPr>
    </w:p>
    <w:p>
      <w:pPr>
        <w:ind w:right="120" w:firstLine="560"/>
        <w:spacing w:after="0" w:line="340" w:lineRule="auto"/>
        <w:rPr>
          <w:sz w:val="20"/>
          <w:szCs w:val="20"/>
          <w:color w:val="auto"/>
        </w:rPr>
      </w:pPr>
      <w:r>
        <w:rPr>
          <w:rFonts w:ascii="Times New Roman" w:cs="Times New Roman" w:eastAsia="Times New Roman" w:hAnsi="Times New Roman"/>
          <w:sz w:val="14"/>
          <w:szCs w:val="14"/>
          <w:color w:val="auto"/>
        </w:rPr>
        <w:t>Research and development expenses as a percentage of total operating expenses was 85% for the year ended December 31, 2025, and 89% for the year ended December 31, 2024. The percentages, excluding share-based compensation, were 86% for the year ended December 31, 2025, and 90% for the year ended December 31, 2024.</w:t>
      </w:r>
    </w:p>
    <w:p>
      <w:pPr>
        <w:spacing w:after="0" w:line="104" w:lineRule="exact"/>
        <w:rPr>
          <w:sz w:val="20"/>
          <w:szCs w:val="20"/>
          <w:color w:val="auto"/>
        </w:rPr>
      </w:pPr>
    </w:p>
    <w:p>
      <w:pPr>
        <w:jc w:val="both"/>
        <w:ind w:right="320" w:firstLine="560"/>
        <w:spacing w:after="0" w:line="340" w:lineRule="auto"/>
        <w:rPr>
          <w:sz w:val="20"/>
          <w:szCs w:val="20"/>
          <w:color w:val="auto"/>
        </w:rPr>
      </w:pPr>
      <w:r>
        <w:rPr>
          <w:rFonts w:ascii="Times New Roman" w:cs="Times New Roman" w:eastAsia="Times New Roman" w:hAnsi="Times New Roman"/>
          <w:sz w:val="14"/>
          <w:szCs w:val="14"/>
          <w:color w:val="auto"/>
        </w:rPr>
        <w:t>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91" w:lineRule="exact"/>
        <w:rPr>
          <w:sz w:val="20"/>
          <w:szCs w:val="20"/>
          <w:color w:val="auto"/>
        </w:rPr>
      </w:pPr>
    </w:p>
    <w:p>
      <w:pPr>
        <w:ind w:firstLine="560"/>
        <w:spacing w:after="0" w:line="299" w:lineRule="auto"/>
        <w:rPr>
          <w:sz w:val="20"/>
          <w:szCs w:val="20"/>
          <w:color w:val="auto"/>
        </w:rPr>
      </w:pPr>
      <w:r>
        <w:rPr>
          <w:rFonts w:ascii="Times New Roman" w:cs="Times New Roman" w:eastAsia="Times New Roman" w:hAnsi="Times New Roman"/>
          <w:sz w:val="14"/>
          <w:szCs w:val="14"/>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was $8.3 million for the year ended December 31, 2025, and $4.7 million for the year ended December 31, 2024. Share-based compensation accounted for $0.9 million for the year ended December 31, 2025, and $0.6 million for the year ended December 31, 2024.</w:t>
      </w:r>
    </w:p>
    <w:p>
      <w:pPr>
        <w:spacing w:after="0" w:line="131" w:lineRule="exact"/>
        <w:rPr>
          <w:sz w:val="20"/>
          <w:szCs w:val="20"/>
          <w:color w:val="auto"/>
        </w:rPr>
      </w:pPr>
    </w:p>
    <w:p>
      <w:pPr>
        <w:ind w:right="120" w:firstLine="560"/>
        <w:spacing w:after="0" w:line="340" w:lineRule="auto"/>
        <w:rPr>
          <w:sz w:val="20"/>
          <w:szCs w:val="20"/>
          <w:color w:val="auto"/>
        </w:rPr>
      </w:pPr>
      <w:r>
        <w:rPr>
          <w:rFonts w:ascii="Times New Roman" w:cs="Times New Roman" w:eastAsia="Times New Roman" w:hAnsi="Times New Roman"/>
          <w:sz w:val="14"/>
          <w:szCs w:val="14"/>
          <w:color w:val="auto"/>
        </w:rPr>
        <w:t>General and administrative expenses as a percentage of total operating expenses was 15% for the year ended December 31, 2025, and 11% for the year ended December 31, 2024. The percentages, excluding share-based compensation, were 14% for the year ended December 31, 2025, and 10%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91" w:lineRule="exact"/>
        <w:rPr>
          <w:sz w:val="20"/>
          <w:szCs w:val="20"/>
          <w:color w:val="auto"/>
        </w:rPr>
      </w:pPr>
    </w:p>
    <w:p>
      <w:pPr>
        <w:jc w:val="both"/>
        <w:ind w:right="620" w:firstLine="560"/>
        <w:spacing w:after="0" w:line="255" w:lineRule="auto"/>
        <w:rPr>
          <w:sz w:val="20"/>
          <w:szCs w:val="20"/>
          <w:color w:val="auto"/>
        </w:rPr>
      </w:pPr>
      <w:r>
        <w:rPr>
          <w:rFonts w:ascii="Times New Roman" w:cs="Times New Roman" w:eastAsia="Times New Roman" w:hAnsi="Times New Roman"/>
          <w:sz w:val="16"/>
          <w:szCs w:val="16"/>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60" w:lineRule="exact"/>
        <w:rPr>
          <w:sz w:val="20"/>
          <w:szCs w:val="20"/>
          <w:color w:val="auto"/>
        </w:rPr>
      </w:pPr>
    </w:p>
    <w:p>
      <w:pPr>
        <w:ind w:right="100" w:firstLine="560"/>
        <w:spacing w:after="0" w:line="255" w:lineRule="auto"/>
        <w:rPr>
          <w:sz w:val="20"/>
          <w:szCs w:val="20"/>
          <w:color w:val="auto"/>
        </w:rPr>
      </w:pPr>
      <w:r>
        <w:rPr>
          <w:rFonts w:ascii="Times New Roman" w:cs="Times New Roman" w:eastAsia="Times New Roman" w:hAnsi="Times New Roman"/>
          <w:sz w:val="16"/>
          <w:szCs w:val="16"/>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60" w:lineRule="exact"/>
        <w:rPr>
          <w:sz w:val="20"/>
          <w:szCs w:val="20"/>
          <w:color w:val="auto"/>
        </w:rPr>
      </w:pPr>
    </w:p>
    <w:p>
      <w:pPr>
        <w:ind w:right="60" w:firstLine="560"/>
        <w:spacing w:after="0" w:line="267"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Stock-based awards are measured at fair value at each grant date. We recognize share-based compensation expenses ratably over the requisite service period of the option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award.</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60"/>
          </w:cols>
          <w:pgMar w:left="320" w:top="520"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color w:val="auto"/>
        </w:rPr>
        <w:t>Determination of the Fair Value of Share-Based Compensation Grants</w:t>
      </w:r>
    </w:p>
    <w:p>
      <w:pPr>
        <w:spacing w:after="0" w:line="191" w:lineRule="exact"/>
        <w:rPr>
          <w:sz w:val="20"/>
          <w:szCs w:val="20"/>
          <w:color w:val="auto"/>
        </w:rPr>
      </w:pPr>
    </w:p>
    <w:p>
      <w:pPr>
        <w:ind w:right="60" w:firstLine="389"/>
        <w:spacing w:after="0" w:line="248" w:lineRule="auto"/>
        <w:rPr>
          <w:sz w:val="20"/>
          <w:szCs w:val="20"/>
          <w:color w:val="auto"/>
        </w:rPr>
      </w:pPr>
      <w:r>
        <w:rPr>
          <w:rFonts w:ascii="Times New Roman" w:cs="Times New Roman" w:eastAsia="Times New Roman" w:hAnsi="Times New Roman"/>
          <w:sz w:val="16"/>
          <w:szCs w:val="16"/>
          <w:color w:val="auto"/>
        </w:rPr>
        <w:t>The determination of the fair value of share-based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option-pricing model and other option valuation models require the input of highly subjective assumptions, including the expected stock price volatility. If we made different assumptions, our share-based compensation expenses, net loss, and net loss per common share could be significantly different. We determine that the fair value of common stock as the closing price of the Company’s common stock as reported by NASDAQ on the option grant date.</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summarizes the assumptions used for estimating the fair value of stock options granted during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5"/>
        </w:trPr>
        <w:tc>
          <w:tcPr>
            <w:tcW w:w="5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5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2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2.68</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3.96</w:t>
            </w:r>
          </w:p>
        </w:tc>
      </w:tr>
      <w:tr>
        <w:trPr>
          <w:trHeight w:val="18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r>
      <w:tr>
        <w:trPr>
          <w:trHeight w:val="18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18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5.29–10.00</w:t>
            </w:r>
          </w:p>
        </w:tc>
        <w:tc>
          <w:tcPr>
            <w:tcW w:w="40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5.00–6.25</w:t>
            </w:r>
          </w:p>
        </w:tc>
      </w:tr>
      <w:tr>
        <w:trPr>
          <w:trHeight w:val="18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r>
    </w:tbl>
    <w:p>
      <w:pPr>
        <w:spacing w:after="0" w:line="170" w:lineRule="exact"/>
        <w:rPr>
          <w:sz w:val="20"/>
          <w:szCs w:val="20"/>
          <w:color w:val="auto"/>
        </w:rPr>
      </w:pPr>
    </w:p>
    <w:p>
      <w:pPr>
        <w:ind w:right="40" w:firstLine="560"/>
        <w:spacing w:after="0" w:line="287" w:lineRule="auto"/>
        <w:rPr>
          <w:sz w:val="20"/>
          <w:szCs w:val="20"/>
          <w:color w:val="auto"/>
        </w:rPr>
      </w:pPr>
      <w:r>
        <w:rPr>
          <w:rFonts w:ascii="Times New Roman" w:cs="Times New Roman" w:eastAsia="Times New Roman" w:hAnsi="Times New Roman"/>
          <w:sz w:val="14"/>
          <w:szCs w:val="14"/>
          <w:color w:val="auto"/>
        </w:rPr>
        <w:t>With the exception of the dividend paid in 2021, we have not historically paid dividends. We have assumed no dividend yield because we do not expect to pay dividends in the foreseeable future.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 The Company accounts for forfeitures as they occur rather than on an estimated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1" w:lineRule="exact"/>
        <w:rPr>
          <w:sz w:val="20"/>
          <w:szCs w:val="20"/>
          <w:color w:val="auto"/>
        </w:rPr>
      </w:pPr>
    </w:p>
    <w:p>
      <w:pPr>
        <w:ind w:right="20" w:firstLine="467"/>
        <w:spacing w:after="0" w:line="246" w:lineRule="auto"/>
        <w:rPr>
          <w:sz w:val="20"/>
          <w:szCs w:val="20"/>
          <w:color w:val="auto"/>
        </w:rPr>
      </w:pPr>
      <w:r>
        <w:rPr>
          <w:rFonts w:ascii="Times New Roman" w:cs="Times New Roman" w:eastAsia="Times New Roman" w:hAnsi="Times New Roman"/>
          <w:sz w:val="16"/>
          <w:szCs w:val="16"/>
          <w:color w:val="auto"/>
        </w:rPr>
        <w:t>We account for income taxes under the asset and liability method. We record deferred tax assets and liabilities for the future tax consequences attributable to differences between the financial statement carrying amounts of existing assets and liabilities and their respective tax bases, as well as for operating loss and tax credit carryforwards.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assess the likelihood that deferred tax assets will be realized, and we recognize a valuation allowance if it is more likely than not that some portion of the deferred tax assets will not be realized. This assessment requires judgment as to the likelihood and amounts of future taxable income by tax jurisdiction. To date, with the exception of certain Canada deferred tax assets that will reverse in a period in which they may be carried back, we have provided a valuation allowance against our deferred tax assets as we believe the objective and verifiable evidence of our historical pretax net losses outweighs any positive evidence of our forecasted future results. Although we believe that our tax estimates are reasonable, the ultimate tax determination involves significant judgment. We will continue to monitor the positive and negative evidence and will adjust the valuation allowance as sufficient objective positive evidence becomes available.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37" w:name="page38"/>
    <w:bookmarkEnd w:id="37"/>
    <w:p>
      <w:pPr>
        <w:ind w:right="120" w:firstLine="467"/>
        <w:spacing w:after="0" w:line="255" w:lineRule="auto"/>
        <w:rPr>
          <w:sz w:val="20"/>
          <w:szCs w:val="20"/>
          <w:color w:val="auto"/>
        </w:rPr>
      </w:pPr>
      <w:r>
        <w:rPr>
          <w:rFonts w:ascii="Times New Roman" w:cs="Times New Roman" w:eastAsia="Times New Roman" w:hAnsi="Times New Roman"/>
          <w:sz w:val="16"/>
          <w:szCs w:val="16"/>
          <w:color w:val="auto"/>
        </w:rPr>
        <w:t>We account for uncertain tax positions by recognizing the financial statement effects of a tax position only when, based upon technical merits, it is more likely than not that the position will be sustained upon examination. We recognize potential accrued interest and penalties associated with unrecognized tax positions within our global operations in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Trial Accruals</w:t>
      </w:r>
    </w:p>
    <w:p>
      <w:pPr>
        <w:spacing w:after="0" w:line="191" w:lineRule="exact"/>
        <w:rPr>
          <w:sz w:val="20"/>
          <w:szCs w:val="20"/>
          <w:color w:val="auto"/>
        </w:rPr>
      </w:pPr>
    </w:p>
    <w:p>
      <w:pPr>
        <w:ind w:right="20" w:firstLine="389"/>
        <w:spacing w:after="0" w:line="248" w:lineRule="auto"/>
        <w:rPr>
          <w:sz w:val="20"/>
          <w:szCs w:val="20"/>
          <w:color w:val="auto"/>
        </w:rPr>
      </w:pPr>
      <w:r>
        <w:rPr>
          <w:rFonts w:ascii="Times New Roman" w:cs="Times New Roman" w:eastAsia="Times New Roman" w:hAnsi="Times New Roman"/>
          <w:sz w:val="16"/>
          <w:szCs w:val="16"/>
          <w:color w:val="auto"/>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Research and Development costs are summarized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7"/>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 Increase</w:t>
            </w:r>
          </w:p>
        </w:tc>
      </w:tr>
      <w:tr>
        <w:trPr>
          <w:trHeight w:val="205"/>
        </w:trPr>
        <w:tc>
          <w:tcPr>
            <w:tcW w:w="5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179"/>
        </w:trPr>
        <w:tc>
          <w:tcPr>
            <w:tcW w:w="59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Salaries and related expenses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34,444</w:t>
            </w:r>
          </w:p>
        </w:tc>
        <w:tc>
          <w:tcPr>
            <w:tcW w:w="480" w:type="dxa"/>
            <w:vAlign w:val="bottom"/>
            <w:shd w:val="clear" w:color="auto" w:fill="CCEEFF"/>
          </w:tcPr>
          <w:p>
            <w:pPr>
              <w:jc w:val="right"/>
              <w:ind w:right="202"/>
              <w:spacing w:after="0" w:line="179"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18,091</w:t>
            </w:r>
          </w:p>
        </w:tc>
        <w:tc>
          <w:tcPr>
            <w:tcW w:w="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42"/>
              <w:spacing w:after="0" w:line="179" w:lineRule="exact"/>
              <w:rPr>
                <w:sz w:val="20"/>
                <w:szCs w:val="20"/>
                <w:color w:val="auto"/>
              </w:rPr>
            </w:pPr>
            <w:r>
              <w:rPr>
                <w:rFonts w:ascii="Times New Roman" w:cs="Times New Roman" w:eastAsia="Times New Roman" w:hAnsi="Times New Roman"/>
                <w:sz w:val="16"/>
                <w:szCs w:val="16"/>
                <w:color w:val="auto"/>
              </w:rPr>
              <w:t>16,353</w:t>
            </w:r>
          </w:p>
        </w:tc>
        <w:tc>
          <w:tcPr>
            <w:tcW w:w="1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90%</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Laboratory and manufacturing supplies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2,545</w:t>
            </w:r>
          </w:p>
        </w:tc>
        <w:tc>
          <w:tcPr>
            <w:tcW w:w="4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4,240</w:t>
            </w:r>
          </w:p>
        </w:tc>
        <w:tc>
          <w:tcPr>
            <w:tcW w:w="240" w:type="dxa"/>
            <w:vAlign w:val="bottom"/>
          </w:tcPr>
          <w:p>
            <w:pPr>
              <w:spacing w:after="0"/>
              <w:rPr>
                <w:sz w:val="16"/>
                <w:szCs w:val="16"/>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(1,695)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and sponsored research</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930</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7,039</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(6,109)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2,692</w:t>
            </w:r>
          </w:p>
        </w:tc>
        <w:tc>
          <w:tcPr>
            <w:tcW w:w="4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1,127</w:t>
            </w:r>
          </w:p>
        </w:tc>
        <w:tc>
          <w:tcPr>
            <w:tcW w:w="240" w:type="dxa"/>
            <w:vAlign w:val="bottom"/>
          </w:tcPr>
          <w:p>
            <w:pPr>
              <w:spacing w:after="0"/>
              <w:rPr>
                <w:sz w:val="16"/>
                <w:szCs w:val="16"/>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1,565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6,779</w:t>
            </w: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7,260</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(481)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78"/>
        </w:trPr>
        <w:tc>
          <w:tcPr>
            <w:tcW w:w="5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47,390</w:t>
            </w:r>
          </w:p>
        </w:tc>
        <w:tc>
          <w:tcPr>
            <w:tcW w:w="480" w:type="dxa"/>
            <w:vAlign w:val="bottom"/>
            <w:tcBorders>
              <w:bottom w:val="single" w:sz="8" w:color="auto"/>
            </w:tcBorders>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37,757</w:t>
            </w:r>
          </w:p>
        </w:tc>
        <w:tc>
          <w:tcPr>
            <w:tcW w:w="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rPr>
              <w:t>9,633</w:t>
            </w:r>
          </w:p>
        </w:tc>
        <w:tc>
          <w:tcPr>
            <w:tcW w:w="1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26%</w:t>
            </w: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right="260" w:firstLine="560"/>
        <w:spacing w:after="0" w:line="255" w:lineRule="auto"/>
        <w:rPr>
          <w:sz w:val="20"/>
          <w:szCs w:val="20"/>
          <w:color w:val="auto"/>
        </w:rPr>
      </w:pPr>
      <w:r>
        <w:rPr>
          <w:rFonts w:ascii="Times New Roman" w:cs="Times New Roman" w:eastAsia="Times New Roman" w:hAnsi="Times New Roman"/>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60" w:lineRule="exact"/>
        <w:rPr>
          <w:sz w:val="20"/>
          <w:szCs w:val="20"/>
          <w:color w:val="auto"/>
        </w:rPr>
      </w:pPr>
    </w:p>
    <w:p>
      <w:pPr>
        <w:ind w:right="40" w:firstLine="389"/>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increased 26% to $47.4 million for the year ended December 31, 2025 compared to $37.8 million for the year ended December 31, 2024. The rise was mainly due to the increase in salaries and related expenses. John Simard retired from his role as President and Chief Executive Officer effective December 8, 2025. Pursuant to Section 8(c) of Mr. Simard’s Executive Employment Agreement, the Company paid a severance amount of $17.3 million, and Mr. Simard’s 2025 annual bonus of $4.5 million was approved by the Compensation Committee in December 2025. A total of 85% of Mr. Simard’s compensation was allocated to research and development expenses, with the remainder allocated to general and administrative expenses. The decrease in clinical trial and sponsored research expenses was primarily due to the absence of clinical trials in progress during 2025. In addition, stock-based compensation increased due to the issuance of stock options with immediate vesting and grant date fair value at $3.0 million to Mr. Simard in March 2025, with 85% of the expense allocated to research and development. Other expenses primarily included approximately $5.0 million of facility-related expenditures for both the year ended December 31, 2025 and 2024 and miscellaneous costs such as travel, equipment maintenance, and laboratory safety.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73"/>
        </w:trPr>
        <w:tc>
          <w:tcPr>
            <w:tcW w:w="5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General and administrative costs are summarized as follows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6"/>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7"/>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 Increase</w:t>
            </w:r>
          </w:p>
        </w:tc>
      </w:tr>
      <w:tr>
        <w:trPr>
          <w:trHeight w:val="205"/>
        </w:trPr>
        <w:tc>
          <w:tcPr>
            <w:tcW w:w="5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179"/>
        </w:trPr>
        <w:tc>
          <w:tcPr>
            <w:tcW w:w="59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Salaries and related expenses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4,521</w:t>
            </w:r>
          </w:p>
        </w:tc>
        <w:tc>
          <w:tcPr>
            <w:tcW w:w="480" w:type="dxa"/>
            <w:vAlign w:val="bottom"/>
            <w:shd w:val="clear" w:color="auto" w:fill="CCEEFF"/>
          </w:tcPr>
          <w:p>
            <w:pPr>
              <w:jc w:val="right"/>
              <w:ind w:right="202"/>
              <w:spacing w:after="0" w:line="179"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1,524</w:t>
            </w:r>
          </w:p>
        </w:tc>
        <w:tc>
          <w:tcPr>
            <w:tcW w:w="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42"/>
              <w:spacing w:after="0" w:line="179" w:lineRule="exact"/>
              <w:rPr>
                <w:sz w:val="20"/>
                <w:szCs w:val="20"/>
                <w:color w:val="auto"/>
              </w:rPr>
            </w:pPr>
            <w:r>
              <w:rPr>
                <w:rFonts w:ascii="Times New Roman" w:cs="Times New Roman" w:eastAsia="Times New Roman" w:hAnsi="Times New Roman"/>
                <w:sz w:val="16"/>
                <w:szCs w:val="16"/>
                <w:color w:val="auto"/>
              </w:rPr>
              <w:t>2,997</w:t>
            </w:r>
          </w:p>
        </w:tc>
        <w:tc>
          <w:tcPr>
            <w:tcW w:w="1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197%</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Patent filing expense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777</w:t>
            </w:r>
          </w:p>
        </w:tc>
        <w:tc>
          <w:tcPr>
            <w:tcW w:w="4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816</w:t>
            </w:r>
          </w:p>
        </w:tc>
        <w:tc>
          <w:tcPr>
            <w:tcW w:w="240" w:type="dxa"/>
            <w:vAlign w:val="bottom"/>
          </w:tcPr>
          <w:p>
            <w:pPr>
              <w:spacing w:after="0"/>
              <w:rPr>
                <w:sz w:val="16"/>
                <w:szCs w:val="16"/>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930</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626</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304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902</w:t>
            </w:r>
          </w:p>
        </w:tc>
        <w:tc>
          <w:tcPr>
            <w:tcW w:w="240" w:type="dxa"/>
            <w:vAlign w:val="bottom"/>
          </w:tcPr>
          <w:p>
            <w:pPr>
              <w:spacing w:after="0"/>
              <w:rPr>
                <w:sz w:val="16"/>
                <w:szCs w:val="16"/>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116</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1,049</w:t>
            </w: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203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78"/>
        </w:trPr>
        <w:tc>
          <w:tcPr>
            <w:tcW w:w="5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8,295</w:t>
            </w:r>
          </w:p>
        </w:tc>
        <w:tc>
          <w:tcPr>
            <w:tcW w:w="480" w:type="dxa"/>
            <w:vAlign w:val="bottom"/>
            <w:tcBorders>
              <w:bottom w:val="single" w:sz="8" w:color="auto"/>
            </w:tcBorders>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4,714</w:t>
            </w:r>
          </w:p>
        </w:tc>
        <w:tc>
          <w:tcPr>
            <w:tcW w:w="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rPr>
              <w:t>3,581</w:t>
            </w:r>
          </w:p>
        </w:tc>
        <w:tc>
          <w:tcPr>
            <w:tcW w:w="1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76%</w:t>
            </w: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80" w:firstLine="389"/>
        <w:spacing w:after="0" w:line="251" w:lineRule="auto"/>
        <w:rPr>
          <w:sz w:val="20"/>
          <w:szCs w:val="20"/>
          <w:color w:val="auto"/>
        </w:rPr>
      </w:pPr>
      <w:r>
        <w:rPr>
          <w:rFonts w:ascii="Times New Roman" w:cs="Times New Roman" w:eastAsia="Times New Roman" w:hAnsi="Times New Roman"/>
          <w:sz w:val="16"/>
          <w:szCs w:val="16"/>
          <w:color w:val="auto"/>
        </w:rPr>
        <w:t>General and administrative expenses increased 76% to $8.3 million for the year ended December 31, 2025 compared to $4.7 million for the year ended December 31, 2024. This increase was primarily driven by higher salaries and related expenses resulting from John Simard’s severance payment and his 2025 annual bonus, with 15% of the expense allocated to general and administrative expenses. In addition, share-based compensation expense increased due to the issuance of stock options with immediate vesting and a grant-date fair value of $3.0 million to Mr. Simard in March 2025, of which 15% was allocated to general and administrative expenses.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73"/>
        </w:trPr>
        <w:tc>
          <w:tcPr>
            <w:tcW w:w="80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The following table summarizes other income (in thousands):</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6"/>
        </w:trPr>
        <w:tc>
          <w:tcPr>
            <w:tcW w:w="8000" w:type="dxa"/>
            <w:vAlign w:val="bottom"/>
          </w:tcPr>
          <w:p>
            <w:pPr>
              <w:spacing w:after="0"/>
              <w:rPr>
                <w:sz w:val="24"/>
                <w:szCs w:val="24"/>
                <w:color w:val="auto"/>
              </w:rPr>
            </w:pPr>
          </w:p>
        </w:tc>
        <w:tc>
          <w:tcPr>
            <w:tcW w:w="266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Pr>
          <w:p>
            <w:pPr>
              <w:spacing w:after="0"/>
              <w:rPr>
                <w:sz w:val="24"/>
                <w:szCs w:val="24"/>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179"/>
        </w:trPr>
        <w:tc>
          <w:tcPr>
            <w:tcW w:w="80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shd w:val="clear" w:color="auto" w:fill="CCEEFF"/>
          </w:tcPr>
          <w:p>
            <w:pPr>
              <w:jc w:val="right"/>
              <w:ind w:right="80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rPr>
              <w:t>5,679</w:t>
            </w:r>
          </w:p>
        </w:tc>
        <w:tc>
          <w:tcPr>
            <w:tcW w:w="1040" w:type="dxa"/>
            <w:vAlign w:val="bottom"/>
            <w:shd w:val="clear" w:color="auto" w:fill="CCEEFF"/>
          </w:tcPr>
          <w:p>
            <w:pPr>
              <w:jc w:val="right"/>
              <w:ind w:right="802"/>
              <w:spacing w:after="0" w:line="17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9,812</w:t>
            </w: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6"/>
                <w:szCs w:val="16"/>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(88)</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1,456</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432</w:t>
            </w:r>
          </w:p>
        </w:tc>
      </w:tr>
      <w:tr>
        <w:trPr>
          <w:trHeight w:val="198"/>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3,333</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178"/>
        </w:trPr>
        <w:tc>
          <w:tcPr>
            <w:tcW w:w="800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8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10,380</w:t>
            </w:r>
          </w:p>
        </w:tc>
        <w:tc>
          <w:tcPr>
            <w:tcW w:w="1040" w:type="dxa"/>
            <w:vAlign w:val="bottom"/>
            <w:tcBorders>
              <w:bottom w:val="single" w:sz="8" w:color="auto"/>
            </w:tcBorders>
            <w:shd w:val="clear" w:color="auto" w:fill="CCEEFF"/>
          </w:tcPr>
          <w:p>
            <w:pPr>
              <w:jc w:val="right"/>
              <w:ind w:right="802"/>
              <w:spacing w:after="0" w:line="17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3,908</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20" w:firstLine="560"/>
        <w:spacing w:after="0" w:line="248" w:lineRule="auto"/>
        <w:rPr>
          <w:sz w:val="20"/>
          <w:szCs w:val="20"/>
          <w:color w:val="auto"/>
        </w:rPr>
      </w:pPr>
      <w:r>
        <w:rPr>
          <w:rFonts w:ascii="Times New Roman" w:cs="Times New Roman" w:eastAsia="Times New Roman" w:hAnsi="Times New Roman"/>
          <w:sz w:val="16"/>
          <w:szCs w:val="16"/>
          <w:color w:val="auto"/>
        </w:rPr>
        <w:t>Interest income for the years ended December 31, 2025 and 2024 was primarily generated from the Company’s Canadian bank accounts and decreased due to lower interest rates and a lower cash balance. Interest expense for the years ended December 31, 2025 and 2024 related to interest on the Company’s convertible loans. The other income during the year ended December 31, 2025 was primarily attributable to the receipt of the Employee Retention Credit from the Internal Revenue Service and the cancellation of a penalty by the Canada Revenue Agency related to the 2020 tax year. The other income during the year ended December 31, 2024 was mainly from the reversal of the previous clinical trial accrual associated with visits that occurred prior to 2022 for which the Company has not received an invoice. Foreign exchange gain (loss) was due to the fluctuation between the US dollar and the Canadian dollar during the reporting periods.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1" w:lineRule="exact"/>
        <w:rPr>
          <w:sz w:val="20"/>
          <w:szCs w:val="20"/>
          <w:color w:val="auto"/>
        </w:rPr>
      </w:pPr>
    </w:p>
    <w:p>
      <w:pPr>
        <w:jc w:val="both"/>
        <w:ind w:right="200" w:firstLine="140"/>
        <w:spacing w:after="0" w:line="255" w:lineRule="auto"/>
        <w:rPr>
          <w:sz w:val="20"/>
          <w:szCs w:val="20"/>
          <w:color w:val="auto"/>
        </w:rPr>
      </w:pPr>
      <w:r>
        <w:rPr>
          <w:rFonts w:ascii="Times New Roman" w:cs="Times New Roman" w:eastAsia="Times New Roman" w:hAnsi="Times New Roman"/>
          <w:sz w:val="16"/>
          <w:szCs w:val="16"/>
          <w:color w:val="auto"/>
        </w:rPr>
        <w:t>The Company’s income tax expense for the tax year ended December 31, 2025 of $0.23 million was primarily driven by state gross margin taxes and current year uncertain tax positions. The Company’s income tax benefit for the tax year ended December 31, 2024 of $0.03 million was primarily driven by uncertain tax position activity and the estimated 2024 Canadian loss carryback to 2023. The Company expects to maintain its full valuation allowance on all jurisdictions during 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1" w:lineRule="exact"/>
        <w:rPr>
          <w:sz w:val="20"/>
          <w:szCs w:val="20"/>
          <w:color w:val="auto"/>
        </w:rPr>
      </w:pPr>
    </w:p>
    <w:p>
      <w:pPr>
        <w:ind w:right="580" w:firstLine="560"/>
        <w:spacing w:after="0" w:line="267" w:lineRule="auto"/>
        <w:rPr>
          <w:sz w:val="20"/>
          <w:szCs w:val="20"/>
          <w:color w:val="auto"/>
        </w:rPr>
      </w:pPr>
      <w:r>
        <w:rPr>
          <w:rFonts w:ascii="Times New Roman" w:cs="Times New Roman" w:eastAsia="Times New Roman" w:hAnsi="Times New Roman"/>
          <w:sz w:val="16"/>
          <w:szCs w:val="16"/>
          <w:color w:val="auto"/>
        </w:rPr>
        <w:t>Our cash requirements could change materially as a result of the progress of our research and development and clinical programs, licensing activities, acquisitions, divestitures or other corporate developments.</w:t>
      </w:r>
    </w:p>
    <w:p>
      <w:pPr>
        <w:spacing w:after="0" w:line="151" w:lineRule="exact"/>
        <w:rPr>
          <w:sz w:val="20"/>
          <w:szCs w:val="20"/>
          <w:color w:val="auto"/>
        </w:rPr>
      </w:pPr>
    </w:p>
    <w:p>
      <w:pPr>
        <w:ind w:right="40" w:firstLine="560"/>
        <w:spacing w:after="0" w:line="249" w:lineRule="auto"/>
        <w:rPr>
          <w:sz w:val="20"/>
          <w:szCs w:val="20"/>
          <w:color w:val="auto"/>
        </w:rPr>
      </w:pPr>
      <w:r>
        <w:rPr>
          <w:rFonts w:ascii="Times New Roman" w:cs="Times New Roman" w:eastAsia="Times New Roman" w:hAnsi="Times New Roman"/>
          <w:sz w:val="16"/>
          <w:szCs w:val="16"/>
          <w:color w:val="auto"/>
        </w:rPr>
        <w:t>Since our inception on March 22, 2005 through December 31, 2025, we have funded our operations principally through private placements and public offerings of equity securities, which have provided aggregate cash proceeds of approximately $276.3 million, excluding the February 2020 tender offer cash payment. We received $675 million in cash proceeds from the Janssen Transaction in the year ended December 31, 2019. In June 2021, we received the remaining $75 million in cash from the escrow receivable from the same transaction. In July 2021, we paid $75 million in dividends to shareholders. At December 31, 2025, we had cash and cash equivalents of $125.6 million as compared to cash and cash equivalents of $172.7 million at December 31, 2024. The following table summarizes our sources and uses of cash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3"/>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5"/>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80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jc w:val="right"/>
              <w:ind w:right="16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(39,920)</w:t>
            </w:r>
          </w:p>
        </w:tc>
        <w:tc>
          <w:tcPr>
            <w:tcW w:w="400" w:type="dxa"/>
            <w:vAlign w:val="bottom"/>
            <w:shd w:val="clear" w:color="auto" w:fill="CCEEFF"/>
          </w:tcPr>
          <w:p>
            <w:pPr>
              <w:jc w:val="right"/>
              <w:ind w:right="16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(30,963)</w:t>
            </w: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(289)</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(10,250)</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10,450</w:t>
            </w:r>
          </w:p>
        </w:tc>
      </w:tr>
      <w:tr>
        <w:trPr>
          <w:trHeight w:val="187"/>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3,333</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178"/>
        </w:trPr>
        <w:tc>
          <w:tcPr>
            <w:tcW w:w="800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320" w:type="dxa"/>
            <w:vAlign w:val="bottom"/>
            <w:tcBorders>
              <w:bottom w:val="single" w:sz="8" w:color="auto"/>
            </w:tcBorders>
            <w:shd w:val="clear" w:color="auto" w:fill="CCEEFF"/>
          </w:tcPr>
          <w:p>
            <w:pPr>
              <w:jc w:val="right"/>
              <w:ind w:right="1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(47,126)</w:t>
            </w:r>
          </w:p>
        </w:tc>
        <w:tc>
          <w:tcPr>
            <w:tcW w:w="400" w:type="dxa"/>
            <w:vAlign w:val="bottom"/>
            <w:tcBorders>
              <w:bottom w:val="single" w:sz="8" w:color="auto"/>
            </w:tcBorders>
            <w:shd w:val="clear" w:color="auto" w:fill="CCEEFF"/>
          </w:tcPr>
          <w:p>
            <w:pPr>
              <w:jc w:val="right"/>
              <w:ind w:right="16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(27,346)</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91" w:lineRule="exact"/>
        <w:rPr>
          <w:sz w:val="20"/>
          <w:szCs w:val="20"/>
          <w:color w:val="auto"/>
        </w:rPr>
      </w:pPr>
    </w:p>
    <w:p>
      <w:pPr>
        <w:ind w:right="320" w:firstLine="560"/>
        <w:spacing w:after="0" w:line="267" w:lineRule="auto"/>
        <w:rPr>
          <w:sz w:val="20"/>
          <w:szCs w:val="20"/>
          <w:color w:val="auto"/>
        </w:rPr>
      </w:pPr>
      <w:r>
        <w:rPr>
          <w:rFonts w:ascii="Times New Roman" w:cs="Times New Roman" w:eastAsia="Times New Roman" w:hAnsi="Times New Roman"/>
          <w:sz w:val="16"/>
          <w:szCs w:val="16"/>
          <w:color w:val="auto"/>
        </w:rPr>
        <w:t>During the years ended December 31, 2025 and 2024 net cash used in operating activities was $39.9 million and $31.0 million, respectively. Net cash used in the years ended December 31, 2025 and 2024 primarily resulted from our net losses. The rise in net losses was mainly due to the increase in salaries and related expenses.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91" w:lineRule="exact"/>
        <w:rPr>
          <w:sz w:val="20"/>
          <w:szCs w:val="20"/>
          <w:color w:val="auto"/>
        </w:rPr>
      </w:pPr>
    </w:p>
    <w:p>
      <w:pPr>
        <w:ind w:right="260" w:firstLine="560"/>
        <w:spacing w:after="0" w:line="267" w:lineRule="auto"/>
        <w:rPr>
          <w:sz w:val="20"/>
          <w:szCs w:val="20"/>
          <w:color w:val="auto"/>
        </w:rPr>
      </w:pPr>
      <w:r>
        <w:rPr>
          <w:rFonts w:ascii="Times New Roman" w:cs="Times New Roman" w:eastAsia="Times New Roman" w:hAnsi="Times New Roman"/>
          <w:sz w:val="16"/>
          <w:szCs w:val="16"/>
          <w:color w:val="auto"/>
        </w:rPr>
        <w:t>During the years ended December 31, 2025 and 2024, our investing activities used net cash of $0.3 million and $1.3 million, respectively. The use of cash was for fixed asset purchases and the preparation for a new facility.</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91" w:lineRule="exact"/>
        <w:rPr>
          <w:sz w:val="20"/>
          <w:szCs w:val="20"/>
          <w:color w:val="auto"/>
        </w:rPr>
      </w:pPr>
    </w:p>
    <w:p>
      <w:pPr>
        <w:ind w:right="80" w:firstLine="560"/>
        <w:spacing w:after="0" w:line="249" w:lineRule="auto"/>
        <w:rPr>
          <w:sz w:val="20"/>
          <w:szCs w:val="20"/>
          <w:color w:val="auto"/>
        </w:rPr>
      </w:pPr>
      <w:r>
        <w:rPr>
          <w:rFonts w:ascii="Times New Roman" w:cs="Times New Roman" w:eastAsia="Times New Roman" w:hAnsi="Times New Roman"/>
          <w:sz w:val="16"/>
          <w:szCs w:val="16"/>
          <w:color w:val="auto"/>
        </w:rPr>
        <w:t>During the year ended December 31, 2025 and 2024, the net cash (used in) provided by our financing activities was mainly related to the convertible loan. On January 3, 2024, we entered into a convertible loan agreement (the “Loan”) with John Simard, the Company’s Founder, Chairman and former President and Chief Executive Officer, which provided $10 million net cash for the construction of a new, state-of-the-art research and development facility at the Company's property at 5217 Winnebago Lane in Austin, Texas. On January 31, 2025, the Loan was terminated upon full repayment of the principal and interest by the Company. Additionally, during the year ended December 31, 2024, employees exercised stock options to purchase 50,767 shares of our common stock for approximately $200 thousand in net proceeds.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40" w:name="page41"/>
    <w:bookmarkEnd w:id="40"/>
    <w:p>
      <w:pPr>
        <w:ind w:firstLine="560"/>
        <w:spacing w:after="0" w:line="255" w:lineRule="auto"/>
        <w:rPr>
          <w:sz w:val="20"/>
          <w:szCs w:val="20"/>
          <w:color w:val="auto"/>
        </w:rPr>
      </w:pPr>
      <w:r>
        <w:rPr>
          <w:rFonts w:ascii="Times New Roman" w:cs="Times New Roman" w:eastAsia="Times New Roman" w:hAnsi="Times New Roman"/>
          <w:sz w:val="16"/>
          <w:szCs w:val="16"/>
          <w:color w:val="auto"/>
        </w:rPr>
        <w:t>We expect to continue to incur operating losses in the future. We do not expect to receive any additional revenue under the clinical manufacturing agreement with Janssen. Further, we may not receive any product revenue until a drug candidate has been approved by the FDA, EMA or similar regulatory agencies in other countries and successfully commercialized. As of December 31, 2025, our principal sources of liquidity were our cash and cash equivalents, which totaled approximately $125.6 million.</w:t>
      </w:r>
    </w:p>
    <w:p>
      <w:pPr>
        <w:spacing w:after="0" w:line="160" w:lineRule="exact"/>
        <w:rPr>
          <w:sz w:val="20"/>
          <w:szCs w:val="20"/>
          <w:color w:val="auto"/>
        </w:rPr>
      </w:pPr>
    </w:p>
    <w:p>
      <w:pPr>
        <w:ind w:right="180" w:firstLine="560"/>
        <w:spacing w:after="0" w:line="267" w:lineRule="auto"/>
        <w:rPr>
          <w:sz w:val="20"/>
          <w:szCs w:val="20"/>
          <w:color w:val="auto"/>
        </w:rPr>
      </w:pPr>
      <w:r>
        <w:rPr>
          <w:rFonts w:ascii="Times New Roman" w:cs="Times New Roman" w:eastAsia="Times New Roman" w:hAnsi="Times New Roman"/>
          <w:sz w:val="16"/>
          <w:szCs w:val="16"/>
          <w:color w:val="auto"/>
        </w:rPr>
        <w:t>Based on our cash and liquid assets, we believe that our cash and liquid assets will provide us with sufficient financial resources to fund operations and meet our capital requirements and anticipated obligations as they become due.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Since inception, we have not engaged in any off-balance sheet activities, including the use of structured finance, special purpose entities or variable interest entities.</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RISKS</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0"/>
          </w:cols>
          <w:pgMar w:left="320" w:top="520" w:right="3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778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60"/>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60" w:type="dxa"/>
            <w:vAlign w:val="bottom"/>
            <w:gridSpan w:val="2"/>
          </w:tcPr>
          <w:p>
            <w:pPr>
              <w:ind w:left="158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6"/>
        </w:trPr>
        <w:tc>
          <w:tcPr>
            <w:tcW w:w="51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w w:val="96"/>
              </w:rPr>
              <w:t>Report of Independent Registered Public Accounting Firm (PCAOB Firm ID: 726)</w:t>
            </w:r>
          </w:p>
        </w:tc>
        <w:tc>
          <w:tcPr>
            <w:tcW w:w="346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43</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0000EE"/>
                <w:w w:val="95"/>
              </w:rPr>
              <w:t>Consolidated Balance Sheets</w:t>
            </w:r>
          </w:p>
        </w:tc>
        <w:tc>
          <w:tcPr>
            <w:tcW w:w="3360" w:type="dxa"/>
            <w:vAlign w:val="bottom"/>
            <w:gridSpan w:val="5"/>
          </w:tcPr>
          <w:p>
            <w:pPr>
              <w:spacing w:after="0"/>
              <w:rPr>
                <w:sz w:val="14"/>
                <w:szCs w:val="14"/>
                <w:color w:val="auto"/>
              </w:rPr>
            </w:pPr>
          </w:p>
        </w:tc>
        <w:tc>
          <w:tcPr>
            <w:tcW w:w="3460" w:type="dxa"/>
            <w:vAlign w:val="bottom"/>
          </w:tcPr>
          <w:p>
            <w:pPr>
              <w:spacing w:after="0"/>
              <w:rPr>
                <w:sz w:val="14"/>
                <w:szCs w:val="14"/>
                <w:color w:val="auto"/>
              </w:rPr>
            </w:pPr>
          </w:p>
        </w:tc>
        <w:tc>
          <w:tcPr>
            <w:tcW w:w="2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0000EE"/>
              </w:rPr>
              <w:t>44</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7"/>
        </w:trPr>
        <w:tc>
          <w:tcPr>
            <w:tcW w:w="8620" w:type="dxa"/>
            <w:vAlign w:val="bottom"/>
            <w:gridSpan w:val="8"/>
          </w:tcPr>
          <w:p>
            <w:pPr>
              <w:spacing w:after="0" w:line="167"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2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0000EE"/>
              </w:rPr>
              <w:t>45</w:t>
            </w:r>
          </w:p>
        </w:tc>
      </w:tr>
      <w:tr>
        <w:trPr>
          <w:trHeight w:val="20"/>
        </w:trPr>
        <w:tc>
          <w:tcPr>
            <w:tcW w:w="2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7"/>
        </w:trPr>
        <w:tc>
          <w:tcPr>
            <w:tcW w:w="8620" w:type="dxa"/>
            <w:vAlign w:val="bottom"/>
            <w:gridSpan w:val="8"/>
          </w:tcPr>
          <w:p>
            <w:pPr>
              <w:spacing w:after="0" w:line="167" w:lineRule="exact"/>
              <w:rPr>
                <w:sz w:val="20"/>
                <w:szCs w:val="20"/>
                <w:color w:val="auto"/>
              </w:rPr>
            </w:pPr>
            <w:r>
              <w:rPr>
                <w:rFonts w:ascii="Times New Roman" w:cs="Times New Roman" w:eastAsia="Times New Roman" w:hAnsi="Times New Roman"/>
                <w:sz w:val="16"/>
                <w:szCs w:val="16"/>
                <w:color w:val="0000EE"/>
              </w:rPr>
              <w:t>Consolidated Statements of Shareholders’ Equity</w:t>
            </w:r>
          </w:p>
        </w:tc>
        <w:tc>
          <w:tcPr>
            <w:tcW w:w="2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0000EE"/>
              </w:rPr>
              <w:t>46</w:t>
            </w:r>
          </w:p>
        </w:tc>
      </w:tr>
      <w:tr>
        <w:trPr>
          <w:trHeight w:val="20"/>
        </w:trPr>
        <w:tc>
          <w:tcPr>
            <w:tcW w:w="2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7"/>
        </w:trPr>
        <w:tc>
          <w:tcPr>
            <w:tcW w:w="24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0000EE"/>
                <w:w w:val="96"/>
              </w:rPr>
              <w:t>Consolidated Statements of Cash Flows</w:t>
            </w:r>
          </w:p>
        </w:tc>
        <w:tc>
          <w:tcPr>
            <w:tcW w:w="580" w:type="dxa"/>
            <w:vAlign w:val="bottom"/>
            <w:gridSpan w:val="2"/>
          </w:tcPr>
          <w:p>
            <w:pPr>
              <w:spacing w:after="0"/>
              <w:rPr>
                <w:sz w:val="14"/>
                <w:szCs w:val="14"/>
                <w:color w:val="auto"/>
              </w:rPr>
            </w:pPr>
          </w:p>
        </w:tc>
        <w:tc>
          <w:tcPr>
            <w:tcW w:w="5560" w:type="dxa"/>
            <w:vAlign w:val="bottom"/>
            <w:gridSpan w:val="2"/>
          </w:tcPr>
          <w:p>
            <w:pPr>
              <w:spacing w:after="0"/>
              <w:rPr>
                <w:sz w:val="14"/>
                <w:szCs w:val="14"/>
                <w:color w:val="auto"/>
              </w:rPr>
            </w:pPr>
          </w:p>
        </w:tc>
        <w:tc>
          <w:tcPr>
            <w:tcW w:w="2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0000EE"/>
              </w:rPr>
              <w:t>47</w:t>
            </w:r>
          </w:p>
        </w:tc>
      </w:tr>
      <w:tr>
        <w:trPr>
          <w:trHeight w:val="20"/>
        </w:trPr>
        <w:tc>
          <w:tcPr>
            <w:tcW w:w="2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7"/>
        </w:trPr>
        <w:tc>
          <w:tcPr>
            <w:tcW w:w="2720" w:type="dxa"/>
            <w:vAlign w:val="bottom"/>
            <w:gridSpan w:val="5"/>
          </w:tcPr>
          <w:p>
            <w:pPr>
              <w:spacing w:after="0" w:line="167" w:lineRule="exact"/>
              <w:rPr>
                <w:sz w:val="20"/>
                <w:szCs w:val="20"/>
                <w:color w:val="auto"/>
              </w:rPr>
            </w:pPr>
            <w:r>
              <w:rPr>
                <w:rFonts w:ascii="Times New Roman" w:cs="Times New Roman" w:eastAsia="Times New Roman" w:hAnsi="Times New Roman"/>
                <w:sz w:val="16"/>
                <w:szCs w:val="16"/>
                <w:color w:val="0000EE"/>
                <w:w w:val="96"/>
              </w:rPr>
              <w:t>Notes to Consolidated Financial Statements</w:t>
            </w:r>
          </w:p>
        </w:tc>
        <w:tc>
          <w:tcPr>
            <w:tcW w:w="5900" w:type="dxa"/>
            <w:vAlign w:val="bottom"/>
            <w:gridSpan w:val="3"/>
          </w:tcPr>
          <w:p>
            <w:pPr>
              <w:spacing w:after="0"/>
              <w:rPr>
                <w:sz w:val="14"/>
                <w:szCs w:val="14"/>
                <w:color w:val="auto"/>
              </w:rPr>
            </w:pPr>
          </w:p>
        </w:tc>
        <w:tc>
          <w:tcPr>
            <w:tcW w:w="2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0000EE"/>
              </w:rPr>
              <w:t>48</w:t>
            </w:r>
          </w:p>
        </w:tc>
      </w:tr>
      <w:tr>
        <w:trPr>
          <w:trHeight w:val="20"/>
        </w:trPr>
        <w:tc>
          <w:tcPr>
            <w:tcW w:w="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80"/>
          </w:cols>
          <w:pgMar w:left="320" w:top="728" w:right="799" w:bottom="1440" w:gutter="0" w:footer="0" w:header="0"/>
        </w:sectPr>
      </w:pPr>
    </w:p>
    <w:bookmarkStart w:id="42" w:name="page43"/>
    <w:bookmarkEnd w:id="42"/>
    <w:p>
      <w:pPr>
        <w:ind w:left="29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of XBiotech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XBiotech Inc. and its subsidiary (collectively, the “Company”) as of December 31, 2025 and 2024, and the related consolidated statements of operations, shareholders’ equity, and cash flows for the years then ended, and the related notes to the consolidated financial statements (collectively referred to as the “financial statements”). In our opinion, the financial statements present fairly, in all material respects, the financial position of the Company as of December 31, 2025 and 2024, and the results of their operations and their cash flows for the years then ended,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1" w:lineRule="exact"/>
        <w:rPr>
          <w:sz w:val="20"/>
          <w:szCs w:val="20"/>
          <w:color w:val="auto"/>
        </w:rPr>
      </w:pPr>
    </w:p>
    <w:p>
      <w:pPr>
        <w:jc w:val="both"/>
        <w:ind w:right="120"/>
        <w:spacing w:after="0" w:line="30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6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9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Whitley Penn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Austin, Texas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13, 2026</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60"/>
          </w:cols>
          <w:pgMar w:left="320" w:top="705" w:right="4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5"/>
              </w:rPr>
              <w:t>December 31, 2025</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125,551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172,677</w:t>
            </w:r>
          </w:p>
        </w:tc>
        <w:tc>
          <w:tcPr>
            <w:tcW w:w="0" w:type="dxa"/>
            <w:vAlign w:val="bottom"/>
          </w:tcPr>
          <w:p>
            <w:pPr>
              <w:spacing w:after="0"/>
              <w:rPr>
                <w:sz w:val="1"/>
                <w:szCs w:val="1"/>
                <w:color w:val="auto"/>
              </w:rPr>
            </w:pPr>
          </w:p>
        </w:tc>
      </w:tr>
      <w:tr>
        <w:trPr>
          <w:trHeight w:val="187"/>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tcPr>
          <w:p>
            <w:pPr>
              <w:spacing w:after="0"/>
              <w:rPr>
                <w:sz w:val="16"/>
                <w:szCs w:val="16"/>
                <w:color w:val="auto"/>
              </w:rPr>
            </w:pP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98"/>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5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78"/>
        </w:trPr>
        <w:tc>
          <w:tcPr>
            <w:tcW w:w="54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current assets</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126,953</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174,567</w:t>
            </w:r>
          </w:p>
        </w:tc>
        <w:tc>
          <w:tcPr>
            <w:tcW w:w="0" w:type="dxa"/>
            <w:vAlign w:val="bottom"/>
          </w:tcPr>
          <w:p>
            <w:pPr>
              <w:spacing w:after="0"/>
              <w:rPr>
                <w:sz w:val="1"/>
                <w:szCs w:val="1"/>
                <w:color w:val="auto"/>
              </w:rPr>
            </w:pPr>
          </w:p>
        </w:tc>
      </w:tr>
      <w:tr>
        <w:trPr>
          <w:trHeight w:val="187"/>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5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23,129</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24,526</w:t>
            </w: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assets</w:t>
            </w:r>
          </w:p>
        </w:tc>
        <w:tc>
          <w:tcPr>
            <w:tcW w:w="2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150,082</w:t>
            </w:r>
          </w:p>
        </w:tc>
        <w:tc>
          <w:tcPr>
            <w:tcW w:w="1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199,093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187"/>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6,318</w:t>
            </w:r>
          </w:p>
        </w:tc>
        <w:tc>
          <w:tcPr>
            <w:tcW w:w="160" w:type="dxa"/>
            <w:vAlign w:val="bottom"/>
          </w:tcPr>
          <w:p>
            <w:pPr>
              <w:spacing w:after="0"/>
              <w:rPr>
                <w:sz w:val="16"/>
                <w:szCs w:val="16"/>
                <w:color w:val="auto"/>
              </w:rPr>
            </w:pP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2,632</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loan, related party</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loan, third party</w:t>
            </w:r>
          </w:p>
        </w:tc>
        <w:tc>
          <w:tcPr>
            <w:tcW w:w="2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78"/>
        </w:trPr>
        <w:tc>
          <w:tcPr>
            <w:tcW w:w="54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 current liabilities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7,929</w:t>
            </w:r>
          </w:p>
        </w:tc>
        <w:tc>
          <w:tcPr>
            <w:tcW w:w="160" w:type="dxa"/>
            <w:vAlign w:val="bottom"/>
          </w:tcPr>
          <w:p>
            <w:pPr>
              <w:spacing w:after="0"/>
              <w:rPr>
                <w:sz w:val="15"/>
                <w:szCs w:val="15"/>
                <w:color w:val="auto"/>
              </w:rPr>
            </w:pPr>
          </w:p>
        </w:tc>
        <w:tc>
          <w:tcPr>
            <w:tcW w:w="1480" w:type="dxa"/>
            <w:vAlign w:val="bottom"/>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15,105</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1,798</w:t>
            </w:r>
          </w:p>
        </w:tc>
        <w:tc>
          <w:tcPr>
            <w:tcW w:w="160" w:type="dxa"/>
            <w:vAlign w:val="bottom"/>
          </w:tcPr>
          <w:p>
            <w:pPr>
              <w:spacing w:after="0"/>
              <w:rPr>
                <w:sz w:val="16"/>
                <w:szCs w:val="16"/>
                <w:color w:val="auto"/>
              </w:rPr>
            </w:pP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5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9,732</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16,825</w:t>
            </w:r>
          </w:p>
        </w:tc>
        <w:tc>
          <w:tcPr>
            <w:tcW w:w="0" w:type="dxa"/>
            <w:vAlign w:val="bottom"/>
          </w:tcPr>
          <w:p>
            <w:pPr>
              <w:spacing w:after="0"/>
              <w:rPr>
                <w:sz w:val="1"/>
                <w:szCs w:val="1"/>
                <w:color w:val="auto"/>
              </w:rPr>
            </w:pPr>
          </w:p>
        </w:tc>
      </w:tr>
      <w:tr>
        <w:trPr>
          <w:trHeight w:val="178"/>
        </w:trPr>
        <w:tc>
          <w:tcPr>
            <w:tcW w:w="54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no par value, unlimited shares authorized, no shares outstanding</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54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w w:val="97"/>
              </w:rPr>
              <w:t>Common stock, no par value, unlimited shares authorized, 30,487,731 share issued and</w:t>
            </w:r>
          </w:p>
        </w:tc>
        <w:tc>
          <w:tcPr>
            <w:tcW w:w="2640" w:type="dxa"/>
            <w:vAlign w:val="bottom"/>
            <w:gridSpan w:val="2"/>
          </w:tcPr>
          <w:p>
            <w:pPr>
              <w:jc w:val="right"/>
              <w:ind w:right="382"/>
              <w:spacing w:after="0" w:line="170" w:lineRule="exact"/>
              <w:rPr>
                <w:sz w:val="20"/>
                <w:szCs w:val="20"/>
                <w:color w:val="auto"/>
              </w:rPr>
            </w:pPr>
            <w:r>
              <w:rPr>
                <w:rFonts w:ascii="Times New Roman" w:cs="Times New Roman" w:eastAsia="Times New Roman" w:hAnsi="Times New Roman"/>
                <w:sz w:val="16"/>
                <w:szCs w:val="16"/>
                <w:color w:val="auto"/>
                <w:w w:val="98"/>
              </w:rPr>
              <w:t>outstanding at December 31, 2025</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December 31, 2024</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276,727</w:t>
            </w:r>
          </w:p>
        </w:tc>
        <w:tc>
          <w:tcPr>
            <w:tcW w:w="160" w:type="dxa"/>
            <w:vAlign w:val="bottom"/>
          </w:tcPr>
          <w:p>
            <w:pPr>
              <w:spacing w:after="0"/>
              <w:rPr>
                <w:sz w:val="17"/>
                <w:szCs w:val="17"/>
                <w:color w:val="auto"/>
              </w:rPr>
            </w:pP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273,105</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5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(136,377)</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(90,837)</w:t>
            </w: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Total shareholders’ equity</w:t>
            </w:r>
          </w:p>
        </w:tc>
        <w:tc>
          <w:tcPr>
            <w:tcW w:w="2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140,350</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182,268</w:t>
            </w:r>
          </w:p>
        </w:tc>
        <w:tc>
          <w:tcPr>
            <w:tcW w:w="0" w:type="dxa"/>
            <w:vAlign w:val="bottom"/>
          </w:tcPr>
          <w:p>
            <w:pPr>
              <w:spacing w:after="0"/>
              <w:rPr>
                <w:sz w:val="1"/>
                <w:szCs w:val="1"/>
                <w:color w:val="auto"/>
              </w:rPr>
            </w:pPr>
          </w:p>
        </w:tc>
      </w:tr>
      <w:tr>
        <w:trPr>
          <w:trHeight w:val="178"/>
        </w:trPr>
        <w:tc>
          <w:tcPr>
            <w:tcW w:w="54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150,082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199,093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r>
              <w:rPr>
                <w:rFonts w:ascii="Times New Roman" w:cs="Times New Roman" w:eastAsia="Times New Roman" w:hAnsi="Times New Roman"/>
                <w:sz w:val="16"/>
                <w:szCs w:val="16"/>
                <w:color w:val="auto"/>
              </w:rPr>
              <w:t>.</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4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60" w:type="dxa"/>
            <w:vAlign w:val="bottom"/>
          </w:tcPr>
          <w:p>
            <w:pPr>
              <w:spacing w:after="0"/>
              <w:rPr>
                <w:sz w:val="24"/>
                <w:szCs w:val="24"/>
                <w:color w:val="auto"/>
              </w:rPr>
            </w:pPr>
          </w:p>
        </w:tc>
        <w:tc>
          <w:tcPr>
            <w:tcW w:w="2540" w:type="dxa"/>
            <w:vAlign w:val="bottom"/>
          </w:tcPr>
          <w:p>
            <w:pPr>
              <w:jc w:val="right"/>
              <w:ind w:right="222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2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374"/>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47,390</w:t>
            </w:r>
          </w:p>
        </w:tc>
        <w:tc>
          <w:tcPr>
            <w:tcW w:w="4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37,757</w:t>
            </w: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8,295</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4,714</w:t>
            </w:r>
          </w:p>
        </w:tc>
        <w:tc>
          <w:tcPr>
            <w:tcW w:w="0" w:type="dxa"/>
            <w:vAlign w:val="bottom"/>
          </w:tcPr>
          <w:p>
            <w:pPr>
              <w:spacing w:after="0"/>
              <w:rPr>
                <w:sz w:val="1"/>
                <w:szCs w:val="1"/>
                <w:color w:val="auto"/>
              </w:rPr>
            </w:pPr>
          </w:p>
        </w:tc>
      </w:tr>
      <w:tr>
        <w:trPr>
          <w:trHeight w:val="178"/>
        </w:trPr>
        <w:tc>
          <w:tcPr>
            <w:tcW w:w="800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55,685</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42,471</w:t>
            </w:r>
          </w:p>
        </w:tc>
        <w:tc>
          <w:tcPr>
            <w:tcW w:w="0" w:type="dxa"/>
            <w:vAlign w:val="bottom"/>
          </w:tcPr>
          <w:p>
            <w:pPr>
              <w:spacing w:after="0"/>
              <w:rPr>
                <w:sz w:val="1"/>
                <w:szCs w:val="1"/>
                <w:color w:val="auto"/>
              </w:rPr>
            </w:pPr>
          </w:p>
        </w:tc>
      </w:tr>
      <w:tr>
        <w:trPr>
          <w:trHeight w:val="178"/>
        </w:trPr>
        <w:tc>
          <w:tcPr>
            <w:tcW w:w="8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(55,685)</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(42,471)</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5,679</w:t>
            </w:r>
          </w:p>
        </w:tc>
        <w:tc>
          <w:tcPr>
            <w:tcW w:w="4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9,812</w:t>
            </w: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1,456</w:t>
            </w:r>
          </w:p>
        </w:tc>
        <w:tc>
          <w:tcPr>
            <w:tcW w:w="4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3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3,333</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178"/>
        </w:trPr>
        <w:tc>
          <w:tcPr>
            <w:tcW w:w="800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 other income</w:t>
            </w:r>
          </w:p>
        </w:tc>
        <w:tc>
          <w:tcPr>
            <w:tcW w:w="320" w:type="dxa"/>
            <w:vAlign w:val="bottom"/>
          </w:tcPr>
          <w:p>
            <w:pPr>
              <w:spacing w:after="0"/>
              <w:rPr>
                <w:sz w:val="15"/>
                <w:szCs w:val="15"/>
                <w:color w:val="auto"/>
              </w:rPr>
            </w:pPr>
          </w:p>
        </w:tc>
        <w:tc>
          <w:tcPr>
            <w:tcW w:w="1300" w:type="dxa"/>
            <w:vAlign w:val="bottom"/>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10,380</w:t>
            </w:r>
          </w:p>
        </w:tc>
        <w:tc>
          <w:tcPr>
            <w:tcW w:w="400" w:type="dxa"/>
            <w:vAlign w:val="bottom"/>
          </w:tcPr>
          <w:p>
            <w:pPr>
              <w:spacing w:after="0"/>
              <w:rPr>
                <w:sz w:val="15"/>
                <w:szCs w:val="15"/>
                <w:color w:val="auto"/>
              </w:rPr>
            </w:pPr>
          </w:p>
        </w:tc>
        <w:tc>
          <w:tcPr>
            <w:tcW w:w="1240" w:type="dxa"/>
            <w:vAlign w:val="bottom"/>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(45,305)</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0" w:type="dxa"/>
            <w:vAlign w:val="bottom"/>
          </w:tcPr>
          <w:p>
            <w:pPr>
              <w:spacing w:after="0"/>
              <w:rPr>
                <w:sz w:val="1"/>
                <w:szCs w:val="1"/>
                <w:color w:val="auto"/>
              </w:rPr>
            </w:pPr>
          </w:p>
        </w:tc>
      </w:tr>
      <w:tr>
        <w:trPr>
          <w:trHeight w:val="187"/>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(235)</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78"/>
        </w:trPr>
        <w:tc>
          <w:tcPr>
            <w:tcW w:w="800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shd w:val="clear" w:color="auto" w:fill="CCEEFF"/>
          </w:tcPr>
          <w:p>
            <w:pPr>
              <w:jc w:val="right"/>
              <w:ind w:right="1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(45,540)</w:t>
            </w:r>
          </w:p>
        </w:tc>
        <w:tc>
          <w:tcPr>
            <w:tcW w:w="400" w:type="dxa"/>
            <w:vAlign w:val="bottom"/>
            <w:tcBorders>
              <w:bottom w:val="single" w:sz="8" w:color="auto"/>
            </w:tcBorders>
            <w:shd w:val="clear" w:color="auto" w:fill="CCEEFF"/>
          </w:tcPr>
          <w:p>
            <w:pPr>
              <w:jc w:val="right"/>
              <w:ind w:right="16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(38,531)</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share—basic and diluted</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0" w:type="dxa"/>
            <w:vAlign w:val="bottom"/>
            <w:vMerge w:val="continue"/>
          </w:tcPr>
          <w:p>
            <w:pPr>
              <w:spacing w:after="0"/>
              <w:rPr>
                <w:sz w:val="14"/>
                <w:szCs w:val="14"/>
                <w:color w:val="auto"/>
              </w:rPr>
            </w:pPr>
          </w:p>
        </w:tc>
        <w:tc>
          <w:tcPr>
            <w:tcW w:w="320" w:type="dxa"/>
            <w:vAlign w:val="bottom"/>
          </w:tcPr>
          <w:p>
            <w:pPr>
              <w:jc w:val="right"/>
              <w:ind w:right="16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(1.49)</w:t>
            </w:r>
          </w:p>
        </w:tc>
        <w:tc>
          <w:tcPr>
            <w:tcW w:w="400" w:type="dxa"/>
            <w:vAlign w:val="bottom"/>
          </w:tcPr>
          <w:p>
            <w:pPr>
              <w:jc w:val="right"/>
              <w:ind w:right="16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to compute basic and diluted net loss per share</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30,487,731</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30,460,980</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number of shares)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60" w:type="dxa"/>
            <w:vAlign w:val="bottom"/>
          </w:tcPr>
          <w:p>
            <w:pPr>
              <w:spacing w:after="0"/>
              <w:rPr>
                <w:sz w:val="15"/>
                <w:szCs w:val="15"/>
                <w:color w:val="auto"/>
              </w:rPr>
            </w:pPr>
          </w:p>
        </w:tc>
        <w:tc>
          <w:tcPr>
            <w:tcW w:w="1260" w:type="dxa"/>
            <w:vAlign w:val="bottom"/>
            <w:tcBorders>
              <w:top w:val="single" w:sz="8" w:color="auto"/>
            </w:tcBorders>
          </w:tcPr>
          <w:p>
            <w:pPr>
              <w:jc w:val="right"/>
              <w:ind w:right="282"/>
              <w:spacing w:after="0" w:line="180" w:lineRule="exact"/>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42"/>
              <w:spacing w:after="0" w:line="180" w:lineRule="exact"/>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5"/>
                <w:szCs w:val="15"/>
                <w:color w:val="auto"/>
              </w:rPr>
            </w:pPr>
          </w:p>
        </w:tc>
        <w:tc>
          <w:tcPr>
            <w:tcW w:w="1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5"/>
        </w:trPr>
        <w:tc>
          <w:tcPr>
            <w:tcW w:w="5960" w:type="dxa"/>
            <w:vAlign w:val="bottom"/>
          </w:tcPr>
          <w:p>
            <w:pPr>
              <w:spacing w:after="0"/>
              <w:rPr>
                <w:sz w:val="17"/>
                <w:szCs w:val="17"/>
                <w:color w:val="auto"/>
              </w:rPr>
            </w:pPr>
          </w:p>
        </w:tc>
        <w:tc>
          <w:tcPr>
            <w:tcW w:w="12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Stock Amount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9"/>
        </w:trPr>
        <w:tc>
          <w:tcPr>
            <w:tcW w:w="59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30,436,964</w:t>
            </w:r>
          </w:p>
        </w:tc>
        <w:tc>
          <w:tcPr>
            <w:tcW w:w="2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271,152</w:t>
            </w:r>
          </w:p>
        </w:tc>
        <w:tc>
          <w:tcPr>
            <w:tcW w:w="22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(52,306)</w:t>
            </w:r>
          </w:p>
        </w:tc>
        <w:tc>
          <w:tcPr>
            <w:tcW w:w="320" w:type="dxa"/>
            <w:vAlign w:val="bottom"/>
            <w:shd w:val="clear" w:color="auto" w:fill="CCEEFF"/>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218,846</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(38,531)</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50,767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200</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1,753</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1,753</w:t>
            </w:r>
          </w:p>
        </w:tc>
      </w:tr>
      <w:tr>
        <w:trPr>
          <w:trHeight w:val="178"/>
        </w:trPr>
        <w:tc>
          <w:tcPr>
            <w:tcW w:w="59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6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30,487,731</w:t>
            </w:r>
          </w:p>
        </w:tc>
        <w:tc>
          <w:tcPr>
            <w:tcW w:w="2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273,105</w:t>
            </w:r>
          </w:p>
        </w:tc>
        <w:tc>
          <w:tcPr>
            <w:tcW w:w="2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(90,837)</w:t>
            </w:r>
          </w:p>
        </w:tc>
        <w:tc>
          <w:tcPr>
            <w:tcW w:w="320" w:type="dxa"/>
            <w:vAlign w:val="bottom"/>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182,268</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(45,540)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(45,540)</w:t>
            </w:r>
          </w:p>
        </w:tc>
      </w:tr>
      <w:tr>
        <w:trPr>
          <w:trHeight w:val="187"/>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3,622</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3,622</w:t>
            </w:r>
          </w:p>
        </w:tc>
      </w:tr>
      <w:tr>
        <w:trPr>
          <w:trHeight w:val="178"/>
        </w:trPr>
        <w:tc>
          <w:tcPr>
            <w:tcW w:w="5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 2025</w:t>
            </w:r>
          </w:p>
        </w:tc>
        <w:tc>
          <w:tcPr>
            <w:tcW w:w="126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30,487,731</w:t>
            </w:r>
          </w:p>
        </w:tc>
        <w:tc>
          <w:tcPr>
            <w:tcW w:w="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276,727</w:t>
            </w:r>
          </w:p>
        </w:tc>
        <w:tc>
          <w:tcPr>
            <w:tcW w:w="2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(136,377)</w:t>
            </w:r>
          </w:p>
        </w:tc>
        <w:tc>
          <w:tcPr>
            <w:tcW w:w="32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140,350</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262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Pr>
          <w:p>
            <w:pPr>
              <w:spacing w:after="0"/>
              <w:rPr>
                <w:sz w:val="17"/>
                <w:szCs w:val="17"/>
                <w:color w:val="auto"/>
              </w:rPr>
            </w:pPr>
          </w:p>
        </w:tc>
      </w:tr>
      <w:tr>
        <w:trPr>
          <w:trHeight w:val="374"/>
        </w:trPr>
        <w:tc>
          <w:tcPr>
            <w:tcW w:w="80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24"/>
                <w:szCs w:val="24"/>
                <w:color w:val="auto"/>
              </w:rPr>
            </w:pPr>
          </w:p>
        </w:tc>
      </w:tr>
      <w:tr>
        <w:trPr>
          <w:trHeight w:val="179"/>
        </w:trPr>
        <w:tc>
          <w:tcPr>
            <w:tcW w:w="80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(45,540)</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920" w:type="dxa"/>
            <w:vAlign w:val="bottom"/>
          </w:tcPr>
          <w:p>
            <w:pPr>
              <w:spacing w:after="0"/>
              <w:rPr>
                <w:sz w:val="16"/>
                <w:szCs w:val="16"/>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1,686</w:t>
            </w:r>
          </w:p>
        </w:tc>
        <w:tc>
          <w:tcPr>
            <w:tcW w:w="100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1,745</w:t>
            </w:r>
          </w:p>
        </w:tc>
      </w:tr>
      <w:tr>
        <w:trPr>
          <w:trHeight w:val="18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920" w:type="dxa"/>
            <w:vAlign w:val="bottom"/>
          </w:tcPr>
          <w:p>
            <w:pPr>
              <w:spacing w:after="0"/>
              <w:rPr>
                <w:sz w:val="16"/>
                <w:szCs w:val="16"/>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(3,333)</w:t>
            </w:r>
          </w:p>
        </w:tc>
        <w:tc>
          <w:tcPr>
            <w:tcW w:w="100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5,529</w:t>
            </w:r>
          </w:p>
        </w:tc>
      </w:tr>
      <w:tr>
        <w:trPr>
          <w:trHeight w:val="18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3,622</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1,753</w:t>
            </w:r>
          </w:p>
        </w:tc>
      </w:tr>
      <w:tr>
        <w:trPr>
          <w:trHeight w:val="187"/>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receivable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234</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8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20" w:type="dxa"/>
            <w:vAlign w:val="bottom"/>
          </w:tcPr>
          <w:p>
            <w:pPr>
              <w:spacing w:after="0"/>
              <w:rPr>
                <w:sz w:val="16"/>
                <w:szCs w:val="16"/>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340</w:t>
            </w:r>
          </w:p>
        </w:tc>
        <w:tc>
          <w:tcPr>
            <w:tcW w:w="100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160</w:t>
            </w:r>
          </w:p>
        </w:tc>
      </w:tr>
      <w:tr>
        <w:trPr>
          <w:trHeight w:val="187"/>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18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6"/>
                <w:szCs w:val="16"/>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(688)</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187"/>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3,686</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18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 term income tax payable</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78</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78"/>
        </w:trPr>
        <w:tc>
          <w:tcPr>
            <w:tcW w:w="8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(39,920)</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(30,963)</w:t>
            </w:r>
          </w:p>
        </w:tc>
      </w:tr>
      <w:tr>
        <w:trPr>
          <w:trHeight w:val="187"/>
        </w:trPr>
        <w:tc>
          <w:tcPr>
            <w:tcW w:w="8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(289)</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78"/>
        </w:trPr>
        <w:tc>
          <w:tcPr>
            <w:tcW w:w="8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(289)</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(1,304)</w:t>
            </w:r>
          </w:p>
        </w:tc>
      </w:tr>
      <w:tr>
        <w:trPr>
          <w:trHeight w:val="187"/>
        </w:trPr>
        <w:tc>
          <w:tcPr>
            <w:tcW w:w="8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on) proceeds from convertible loan related party</w:t>
            </w:r>
          </w:p>
        </w:tc>
        <w:tc>
          <w:tcPr>
            <w:tcW w:w="920" w:type="dxa"/>
            <w:vAlign w:val="bottom"/>
          </w:tcPr>
          <w:p>
            <w:pPr>
              <w:spacing w:after="0"/>
              <w:rPr>
                <w:sz w:val="16"/>
                <w:szCs w:val="16"/>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10,000</w:t>
            </w: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on) proceeds from convertible loan, third party</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(250)</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250</w:t>
            </w: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200</w:t>
            </w:r>
          </w:p>
        </w:tc>
      </w:tr>
      <w:tr>
        <w:trPr>
          <w:trHeight w:val="178"/>
        </w:trPr>
        <w:tc>
          <w:tcPr>
            <w:tcW w:w="8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(10,250)</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10,450</w:t>
            </w: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3,333</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178"/>
        </w:trPr>
        <w:tc>
          <w:tcPr>
            <w:tcW w:w="8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920" w:type="dxa"/>
            <w:vAlign w:val="bottom"/>
          </w:tcPr>
          <w:p>
            <w:pPr>
              <w:spacing w:after="0"/>
              <w:rPr>
                <w:sz w:val="16"/>
                <w:szCs w:val="16"/>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(47,126)</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(27,346)</w:t>
            </w:r>
          </w:p>
        </w:tc>
      </w:tr>
      <w:tr>
        <w:trPr>
          <w:trHeight w:val="187"/>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172,677</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200,023</w:t>
            </w:r>
          </w:p>
        </w:tc>
      </w:tr>
      <w:tr>
        <w:trPr>
          <w:trHeight w:val="178"/>
        </w:trPr>
        <w:tc>
          <w:tcPr>
            <w:tcW w:w="800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Cash and cash equivalents, end of year</w:t>
            </w:r>
          </w:p>
        </w:tc>
        <w:tc>
          <w:tcPr>
            <w:tcW w:w="920" w:type="dxa"/>
            <w:vAlign w:val="bottom"/>
            <w:tcBorders>
              <w:bottom w:val="single" w:sz="8" w:color="auto"/>
            </w:tcBorders>
          </w:tcPr>
          <w:p>
            <w:pPr>
              <w:jc w:val="right"/>
              <w:ind w:right="7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w w:val="99"/>
              </w:rPr>
              <w:t>125,551</w:t>
            </w:r>
          </w:p>
        </w:tc>
        <w:tc>
          <w:tcPr>
            <w:tcW w:w="1000" w:type="dxa"/>
            <w:vAlign w:val="bottom"/>
            <w:tcBorders>
              <w:bottom w:val="single" w:sz="8" w:color="auto"/>
            </w:tcBorders>
          </w:tcPr>
          <w:p>
            <w:pPr>
              <w:jc w:val="right"/>
              <w:ind w:right="762"/>
              <w:spacing w:after="0" w:line="178"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96"/>
              </w:rPr>
              <w:t>172,677</w:t>
            </w: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2"/>
        </w:trPr>
        <w:tc>
          <w:tcPr>
            <w:tcW w:w="8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purchases of property and equipment</w:t>
            </w:r>
          </w:p>
        </w:tc>
        <w:tc>
          <w:tcPr>
            <w:tcW w:w="92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r>
      <w:tr>
        <w:trPr>
          <w:trHeight w:val="18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486</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400</w:t>
            </w:r>
          </w:p>
        </w:tc>
      </w:tr>
      <w:tr>
        <w:trPr>
          <w:trHeight w:val="18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(refunded) for income taxes</w:t>
            </w:r>
          </w:p>
        </w:tc>
        <w:tc>
          <w:tcPr>
            <w:tcW w:w="92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47" w:name="page48"/>
    <w:bookmarkEnd w:id="47"/>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3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1. Organization</w:t>
      </w:r>
    </w:p>
    <w:p>
      <w:pPr>
        <w:spacing w:after="0" w:line="191" w:lineRule="exact"/>
        <w:rPr>
          <w:sz w:val="20"/>
          <w:szCs w:val="20"/>
          <w:color w:val="auto"/>
        </w:rPr>
      </w:pPr>
    </w:p>
    <w:p>
      <w:pPr>
        <w:ind w:left="7" w:right="40" w:firstLine="560"/>
        <w:spacing w:after="0" w:line="267" w:lineRule="auto"/>
        <w:rPr>
          <w:sz w:val="20"/>
          <w:szCs w:val="20"/>
          <w:color w:val="auto"/>
        </w:rPr>
      </w:pPr>
      <w:r>
        <w:rPr>
          <w:rFonts w:ascii="Times New Roman" w:cs="Times New Roman" w:eastAsia="Times New Roman" w:hAnsi="Times New Roman"/>
          <w:sz w:val="16"/>
          <w:szCs w:val="16"/>
          <w:color w:val="auto"/>
        </w:rPr>
        <w:t>XBiotech Inc. (“XBiotech” or the “Company”) was incorporated in Canada on March 22, 2005. The Company’s headquarters are located in Austin, Texas. XBiotech USA, Inc., a wholly-owned subsidiary of the Company, was incorporated in Delaware, United States in November 2007.</w:t>
      </w:r>
    </w:p>
    <w:p>
      <w:pPr>
        <w:spacing w:after="0" w:line="151" w:lineRule="exact"/>
        <w:rPr>
          <w:sz w:val="20"/>
          <w:szCs w:val="20"/>
          <w:color w:val="auto"/>
        </w:rPr>
      </w:pPr>
    </w:p>
    <w:p>
      <w:pPr>
        <w:jc w:val="both"/>
        <w:ind w:left="7" w:right="60" w:firstLine="560"/>
        <w:spacing w:after="0" w:line="255" w:lineRule="auto"/>
        <w:rPr>
          <w:sz w:val="20"/>
          <w:szCs w:val="20"/>
          <w:color w:val="auto"/>
        </w:rPr>
      </w:pPr>
      <w:r>
        <w:rPr>
          <w:rFonts w:ascii="Times New Roman" w:cs="Times New Roman" w:eastAsia="Times New Roman" w:hAnsi="Times New Roman"/>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 The Company has in its pipeline both anti-infective and anti-inflammatory candidate therapeutics derived from this technology.</w:t>
      </w:r>
    </w:p>
    <w:p>
      <w:pPr>
        <w:spacing w:after="0" w:line="160" w:lineRule="exact"/>
        <w:rPr>
          <w:sz w:val="20"/>
          <w:szCs w:val="20"/>
          <w:color w:val="auto"/>
        </w:rPr>
      </w:pPr>
    </w:p>
    <w:p>
      <w:pPr>
        <w:ind w:left="7" w:right="180" w:firstLine="560"/>
        <w:spacing w:after="0" w:line="255" w:lineRule="auto"/>
        <w:rPr>
          <w:sz w:val="20"/>
          <w:szCs w:val="20"/>
          <w:color w:val="auto"/>
        </w:rPr>
      </w:pPr>
      <w:r>
        <w:rPr>
          <w:rFonts w:ascii="Times New Roman" w:cs="Times New Roman" w:eastAsia="Times New Roman" w:hAnsi="Times New Roman"/>
          <w:sz w:val="16"/>
          <w:szCs w:val="16"/>
          <w:color w:val="auto"/>
        </w:rPr>
        <w:t>An area of medical focus for XBiotech are therapies that block a potent substance naturally produced by body, known as interleukin-1 alpha (IL-1a), that mediates tissue breakdown, angiogenesis, the formation of blood clots and inflammation. IL-1a is a protein that is on or in cells of the body and is involved in the body’s response to injury or trauma. In almost all chronic and in some acute injury scenarios (such as stroke or heart attack), IL-1a may mediate harmful disease-related activity.</w:t>
      </w:r>
    </w:p>
    <w:p>
      <w:pPr>
        <w:spacing w:after="0" w:line="160" w:lineRule="exact"/>
        <w:rPr>
          <w:sz w:val="20"/>
          <w:szCs w:val="20"/>
          <w:color w:val="auto"/>
        </w:rPr>
      </w:pPr>
    </w:p>
    <w:p>
      <w:pPr>
        <w:ind w:left="7" w:firstLine="560"/>
        <w:spacing w:after="0" w:line="247" w:lineRule="auto"/>
        <w:rPr>
          <w:sz w:val="20"/>
          <w:szCs w:val="20"/>
          <w:color w:val="auto"/>
        </w:rPr>
      </w:pPr>
      <w:r>
        <w:rPr>
          <w:rFonts w:ascii="Times New Roman" w:cs="Times New Roman" w:eastAsia="Times New Roman" w:hAnsi="Times New Roman"/>
          <w:sz w:val="16"/>
          <w:szCs w:val="16"/>
          <w:color w:val="auto"/>
        </w:rPr>
        <w:t>At the end of 2019, XBiotech sold a True Human™ antibody that blocked IL-1a activity for $750 million in cash and up to $600 million in potential milestone payments (the “Janssen Transaction”). The potential milestone payments are contingent upon achieving the required commercialization authorization for a product intended for use in any non-dermatological indication by Janssen within twelve years. As of December 31, 2025, none of the milestone payments have been earned. As part of the Janssen Transaction, XBiotech maintained the right to develop new antibodies that block IL-1a and develop these therapeutics in all areas of medicine except dermatology. Moreover, Janssen agreed that they would assert all patents they acquired relating to IL-1a for the benefit of XBiotech to protect our future IL-1a-related therapies in all non-dermatological indications. XBiotech is using its True Human™ antibody discovery technology to identify and develop new IL-1a targeting product candidates and has already brought one such candidate into clinical studies in oncology and rheumatology; and another unique anti-IL-1a antibody into a Phase I study in neurology.</w:t>
      </w:r>
    </w:p>
    <w:p>
      <w:pPr>
        <w:spacing w:after="0" w:line="168" w:lineRule="exact"/>
        <w:rPr>
          <w:sz w:val="20"/>
          <w:szCs w:val="20"/>
          <w:color w:val="auto"/>
        </w:rPr>
      </w:pPr>
    </w:p>
    <w:p>
      <w:pPr>
        <w:ind w:left="7" w:firstLine="560"/>
        <w:spacing w:after="0" w:line="248" w:lineRule="auto"/>
        <w:rPr>
          <w:sz w:val="20"/>
          <w:szCs w:val="20"/>
          <w:color w:val="auto"/>
        </w:rPr>
      </w:pPr>
      <w:r>
        <w:rPr>
          <w:rFonts w:ascii="Times New Roman" w:cs="Times New Roman" w:eastAsia="Times New Roman" w:hAnsi="Times New Roman"/>
          <w:sz w:val="16"/>
          <w:szCs w:val="16"/>
          <w:color w:val="auto"/>
        </w:rPr>
        <w:t>The Company is subject to a number of risks common to companies in clinical stage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$125.6 million at December 31, 2025, will enable the Company to achieve several major inflection points, including completion of clinical studies with lead product candidates. The Company expects to have sufficient cash through at least 12 months from the date of this report.</w:t>
      </w:r>
    </w:p>
    <w:p>
      <w:pPr>
        <w:spacing w:after="0" w:line="374" w:lineRule="exact"/>
        <w:rPr>
          <w:sz w:val="20"/>
          <w:szCs w:val="20"/>
          <w:color w:val="auto"/>
        </w:rPr>
      </w:pPr>
    </w:p>
    <w:p>
      <w:pPr>
        <w:ind w:left="7" w:right="9040" w:hanging="7"/>
        <w:spacing w:after="0" w:line="488" w:lineRule="auto"/>
        <w:tabs>
          <w:tab w:leader="none" w:pos="162"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Basis of Presentation</w:t>
      </w:r>
    </w:p>
    <w:p>
      <w:pPr>
        <w:spacing w:after="0" w:line="1" w:lineRule="exact"/>
        <w:rPr>
          <w:sz w:val="20"/>
          <w:szCs w:val="20"/>
          <w:color w:val="auto"/>
        </w:rPr>
      </w:pPr>
    </w:p>
    <w:p>
      <w:pPr>
        <w:ind w:left="7" w:right="120" w:firstLine="560"/>
        <w:spacing w:after="0" w:line="255" w:lineRule="auto"/>
        <w:rPr>
          <w:sz w:val="20"/>
          <w:szCs w:val="20"/>
          <w:color w:val="auto"/>
        </w:rPr>
      </w:pPr>
      <w:r>
        <w:rPr>
          <w:rFonts w:ascii="Times New Roman" w:cs="Times New Roman" w:eastAsia="Times New Roman" w:hAnsi="Times New Roman"/>
          <w:sz w:val="16"/>
          <w:szCs w:val="16"/>
          <w:color w:val="auto"/>
        </w:rPr>
        <w:t>These consolidated financial statements have been prepared in conformity with U.S. Generally Accepted Accounting Principles (“US GAAP”). In the opinion of management, the accompanying consolidated financial statements present fairly the Company’s financial position at December 31, 2025 and 2024, the results of its operations and cash flows for the years ended December 31, 2025, and 2024.</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191" w:lineRule="exact"/>
        <w:rPr>
          <w:sz w:val="20"/>
          <w:szCs w:val="20"/>
          <w:color w:val="auto"/>
        </w:rPr>
      </w:pPr>
    </w:p>
    <w:p>
      <w:pPr>
        <w:ind w:left="7" w:right="620" w:firstLine="560"/>
        <w:spacing w:after="0" w:line="267"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wholly-owned subsidiary. All significant intercompany transactions have been eliminated upon consolidation.</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073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5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1" w:lineRule="exact"/>
        <w:rPr>
          <w:sz w:val="20"/>
          <w:szCs w:val="20"/>
          <w:color w:val="auto"/>
        </w:rPr>
      </w:pPr>
    </w:p>
    <w:p>
      <w:pPr>
        <w:ind w:right="140" w:firstLine="560"/>
        <w:spacing w:after="0" w:line="267"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US GAAP requires management to make estimates and assumptions that affect the reported values of amounts in the financial statements and accompanying notes. Actual results could differ from those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91" w:lineRule="exact"/>
        <w:rPr>
          <w:sz w:val="20"/>
          <w:szCs w:val="20"/>
          <w:color w:val="auto"/>
        </w:rPr>
      </w:pPr>
    </w:p>
    <w:p>
      <w:pPr>
        <w:ind w:right="140" w:firstLine="560"/>
        <w:spacing w:after="0" w:line="309" w:lineRule="auto"/>
        <w:rPr>
          <w:sz w:val="20"/>
          <w:szCs w:val="20"/>
          <w:color w:val="auto"/>
        </w:rPr>
      </w:pPr>
      <w:r>
        <w:rPr>
          <w:rFonts w:ascii="Times New Roman" w:cs="Times New Roman" w:eastAsia="Times New Roman" w:hAnsi="Times New Roman"/>
          <w:sz w:val="14"/>
          <w:szCs w:val="14"/>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25" w:lineRule="exact"/>
        <w:rPr>
          <w:sz w:val="20"/>
          <w:szCs w:val="20"/>
          <w:color w:val="auto"/>
        </w:rPr>
      </w:pPr>
    </w:p>
    <w:p>
      <w:pPr>
        <w:ind w:right="580" w:firstLine="560"/>
        <w:spacing w:after="0" w:line="267" w:lineRule="auto"/>
        <w:rPr>
          <w:sz w:val="20"/>
          <w:szCs w:val="20"/>
          <w:color w:val="auto"/>
        </w:rPr>
      </w:pPr>
      <w:r>
        <w:rPr>
          <w:rFonts w:ascii="Times New Roman" w:cs="Times New Roman" w:eastAsia="Times New Roman" w:hAnsi="Times New Roman"/>
          <w:sz w:val="16"/>
          <w:szCs w:val="16"/>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Clinical Trial Accruals</w:t>
      </w:r>
    </w:p>
    <w:p>
      <w:pPr>
        <w:spacing w:after="0" w:line="191"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1" w:lineRule="exact"/>
        <w:rPr>
          <w:sz w:val="20"/>
          <w:szCs w:val="20"/>
          <w:color w:val="auto"/>
        </w:rPr>
      </w:pPr>
    </w:p>
    <w:p>
      <w:pPr>
        <w:ind w:right="160" w:firstLine="436"/>
        <w:spacing w:after="0" w:line="251"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p>
    <w:p>
      <w:pPr>
        <w:spacing w:after="0" w:line="164" w:lineRule="exact"/>
        <w:rPr>
          <w:sz w:val="20"/>
          <w:szCs w:val="20"/>
          <w:color w:val="auto"/>
        </w:rPr>
      </w:pPr>
    </w:p>
    <w:p>
      <w:pPr>
        <w:ind w:right="220" w:firstLine="436"/>
        <w:spacing w:after="0" w:line="248" w:lineRule="auto"/>
        <w:rPr>
          <w:sz w:val="20"/>
          <w:szCs w:val="20"/>
          <w:color w:val="auto"/>
        </w:rPr>
      </w:pPr>
      <w:r>
        <w:rPr>
          <w:rFonts w:ascii="Times New Roman" w:cs="Times New Roman" w:eastAsia="Times New Roman" w:hAnsi="Times New Roman"/>
          <w:sz w:val="16"/>
          <w:szCs w:val="16"/>
          <w:color w:val="auto"/>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p>
    <w:p>
      <w:pPr>
        <w:spacing w:after="0" w:line="166"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6"/>
          <w:szCs w:val="16"/>
          <w:color w:val="auto"/>
        </w:rPr>
        <w:t>The Company recognizes and measure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related to uncertain tax positions, if any, in income tax expense.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Employee Retention Tax Credit</w:t>
      </w:r>
    </w:p>
    <w:p>
      <w:pPr>
        <w:spacing w:after="0" w:line="191" w:lineRule="exact"/>
        <w:rPr>
          <w:sz w:val="20"/>
          <w:szCs w:val="20"/>
          <w:color w:val="auto"/>
        </w:rPr>
      </w:pPr>
    </w:p>
    <w:p>
      <w:pPr>
        <w:ind w:right="160" w:firstLine="560"/>
        <w:spacing w:after="0" w:line="255" w:lineRule="auto"/>
        <w:rPr>
          <w:sz w:val="20"/>
          <w:szCs w:val="20"/>
          <w:color w:val="auto"/>
        </w:rPr>
      </w:pPr>
      <w:r>
        <w:rPr>
          <w:rFonts w:ascii="Times New Roman" w:cs="Times New Roman" w:eastAsia="Times New Roman" w:hAnsi="Times New Roman"/>
          <w:sz w:val="16"/>
          <w:szCs w:val="16"/>
          <w:color w:val="auto"/>
        </w:rPr>
        <w:t>In 2020, the U.S. government enacted the Coronavirus Aid, Relief, and Security Act (the “CARES Act”) to provide certain relief as a result of the COVID-19 Pandemic. The CARES Act provides tax relief, along with other stimulus measures, including a provision for an Employee Retention Credit (“ERC”). ERC is a refundable tax credit for employers who kept employees on their payroll during the COVID-19 Pandemic.</w:t>
      </w:r>
    </w:p>
    <w:p>
      <w:pPr>
        <w:spacing w:after="0" w:line="160" w:lineRule="exact"/>
        <w:rPr>
          <w:sz w:val="20"/>
          <w:szCs w:val="20"/>
          <w:color w:val="auto"/>
        </w:rPr>
      </w:pPr>
    </w:p>
    <w:p>
      <w:pPr>
        <w:ind w:firstLine="560"/>
        <w:spacing w:after="0" w:line="255" w:lineRule="auto"/>
        <w:rPr>
          <w:sz w:val="20"/>
          <w:szCs w:val="20"/>
          <w:color w:val="auto"/>
        </w:rPr>
      </w:pPr>
      <w:r>
        <w:rPr>
          <w:rFonts w:ascii="Times New Roman" w:cs="Times New Roman" w:eastAsia="Times New Roman" w:hAnsi="Times New Roman"/>
          <w:sz w:val="16"/>
          <w:szCs w:val="16"/>
          <w:color w:val="auto"/>
        </w:rPr>
        <w:t>During the years ended December 31, 2025, we received and recognized $558 thousand related to the Employee Retention Credit, which was recorded within other income in the Consolidated Statements of Operations. In January 2026, the Company received an additional $810 thousand related to the Employee Retention Credit. This amount was recorded and collected subsequent to year-end.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189" w:lineRule="exact"/>
        <w:rPr>
          <w:sz w:val="20"/>
          <w:szCs w:val="20"/>
          <w:color w:val="auto"/>
        </w:rPr>
      </w:pPr>
    </w:p>
    <w:p>
      <w:pPr>
        <w:ind w:right="60" w:firstLine="560"/>
        <w:spacing w:after="0" w:line="289" w:lineRule="auto"/>
        <w:rPr>
          <w:sz w:val="20"/>
          <w:szCs w:val="20"/>
          <w:color w:val="auto"/>
        </w:rPr>
      </w:pPr>
      <w:r>
        <w:rPr>
          <w:rFonts w:ascii="Times New Roman" w:cs="Times New Roman" w:eastAsia="Times New Roman" w:hAnsi="Times New Roman"/>
          <w:sz w:val="14"/>
          <w:szCs w:val="14"/>
          <w:color w:val="auto"/>
        </w:rPr>
        <w:t xml:space="preserve">The Company accounts for its share-based compensation awards in accordance with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ASC 718 requires all share-based payments to employees, including grants of employee stock options, to be recognized in the statements of operations based on their grant date fair values.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39" w:lineRule="exact"/>
        <w:rPr>
          <w:sz w:val="20"/>
          <w:szCs w:val="20"/>
          <w:color w:val="auto"/>
        </w:rPr>
      </w:pPr>
    </w:p>
    <w:p>
      <w:pPr>
        <w:ind w:right="60" w:firstLine="560"/>
        <w:spacing w:after="0" w:line="267" w:lineRule="auto"/>
        <w:rPr>
          <w:sz w:val="20"/>
          <w:szCs w:val="20"/>
          <w:color w:val="auto"/>
        </w:rPr>
      </w:pPr>
      <w:r>
        <w:rPr>
          <w:rFonts w:ascii="Times New Roman" w:cs="Times New Roman" w:eastAsia="Times New Roman" w:hAnsi="Times New Roman"/>
          <w:sz w:val="16"/>
          <w:szCs w:val="16"/>
          <w:color w:val="auto"/>
        </w:rPr>
        <w:t>Share-based compensation expense recognized for the years ended December 31, 2025, and 2024 was included in the following line items on the Consolidated Statements of Operations (in thousands).</w:t>
      </w:r>
    </w:p>
    <w:p>
      <w:pPr>
        <w:spacing w:after="0" w:line="14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31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4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8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180" w:type="dxa"/>
            <w:vAlign w:val="bottom"/>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2,692</w:t>
            </w:r>
          </w:p>
        </w:tc>
        <w:tc>
          <w:tcPr>
            <w:tcW w:w="4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1,127</w:t>
            </w:r>
          </w:p>
        </w:tc>
      </w:tr>
      <w:tr>
        <w:trPr>
          <w:trHeight w:val="187"/>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930</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626</w:t>
            </w:r>
          </w:p>
        </w:tc>
      </w:tr>
      <w:tr>
        <w:trPr>
          <w:trHeight w:val="178"/>
        </w:trPr>
        <w:tc>
          <w:tcPr>
            <w:tcW w:w="46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share-based compensation expense</w:t>
            </w:r>
          </w:p>
        </w:tc>
        <w:tc>
          <w:tcPr>
            <w:tcW w:w="2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3,622</w:t>
            </w:r>
          </w:p>
        </w:tc>
        <w:tc>
          <w:tcPr>
            <w:tcW w:w="44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1,753</w:t>
            </w:r>
          </w:p>
        </w:tc>
      </w:tr>
      <w:tr>
        <w:trPr>
          <w:trHeight w:val="20"/>
        </w:trPr>
        <w:tc>
          <w:tcPr>
            <w:tcW w:w="4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fair value of each option is estimated on the date of grant using the Black-Scholes method with the following assumptions: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180" w:type="dxa"/>
            <w:vAlign w:val="bottom"/>
          </w:tcPr>
          <w:p>
            <w:pPr>
              <w:spacing w:after="0"/>
              <w:rPr>
                <w:sz w:val="16"/>
                <w:szCs w:val="16"/>
                <w:color w:val="auto"/>
              </w:rPr>
            </w:pPr>
          </w:p>
        </w:tc>
      </w:tr>
      <w:tr>
        <w:trPr>
          <w:trHeight w:val="187"/>
        </w:trPr>
        <w:tc>
          <w:tcPr>
            <w:tcW w:w="4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80" w:type="dxa"/>
            <w:vAlign w:val="bottom"/>
          </w:tcPr>
          <w:p>
            <w:pPr>
              <w:spacing w:after="0"/>
              <w:rPr>
                <w:sz w:val="16"/>
                <w:szCs w:val="16"/>
                <w:color w:val="auto"/>
              </w:rPr>
            </w:pPr>
          </w:p>
        </w:tc>
      </w:tr>
      <w:tr>
        <w:trPr>
          <w:trHeight w:val="205"/>
        </w:trPr>
        <w:tc>
          <w:tcPr>
            <w:tcW w:w="4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4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2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2.68</w:t>
            </w:r>
          </w:p>
        </w:tc>
        <w:tc>
          <w:tcPr>
            <w:tcW w:w="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3.96</w:t>
            </w:r>
          </w:p>
        </w:tc>
      </w:tr>
      <w:tr>
        <w:trPr>
          <w:trHeight w:val="18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r>
      <w:tr>
        <w:trPr>
          <w:trHeight w:val="18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18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5.29–10.00</w:t>
            </w:r>
          </w:p>
        </w:tc>
        <w:tc>
          <w:tcPr>
            <w:tcW w:w="52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5.00–6.25</w:t>
            </w:r>
          </w:p>
        </w:tc>
      </w:tr>
      <w:tr>
        <w:trPr>
          <w:trHeight w:val="18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91" w:lineRule="exact"/>
        <w:rPr>
          <w:sz w:val="20"/>
          <w:szCs w:val="20"/>
          <w:color w:val="auto"/>
        </w:rPr>
      </w:pPr>
    </w:p>
    <w:p>
      <w:pPr>
        <w:ind w:right="20" w:firstLine="560"/>
        <w:spacing w:after="0" w:line="267" w:lineRule="auto"/>
        <w:rPr>
          <w:sz w:val="20"/>
          <w:szCs w:val="20"/>
          <w:color w:val="auto"/>
        </w:rPr>
      </w:pPr>
      <w:r>
        <w:rPr>
          <w:rFonts w:ascii="Times New Roman" w:cs="Times New Roman" w:eastAsia="Times New Roman" w:hAnsi="Times New Roman"/>
          <w:sz w:val="16"/>
          <w:szCs w:val="16"/>
          <w:color w:val="auto"/>
        </w:rPr>
        <w:t>The Company considers highly liquid investments with a maturity of 90 days or less when purchased to be cash equivalents. Cash and cash equivalents consisted primarily of cash on deposit in U.S. and Canadian banks. Cash and cash equivalents are stated at cost which approximates fair value.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w:t>
      </w:r>
    </w:p>
    <w:p>
      <w:pPr>
        <w:spacing w:after="0" w:line="191"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credit risk consist primarily of cash and cash equivalents. The Company holds these investments in highly-rated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91" w:lineRule="exact"/>
        <w:rPr>
          <w:sz w:val="20"/>
          <w:szCs w:val="20"/>
          <w:color w:val="auto"/>
        </w:rPr>
      </w:pPr>
    </w:p>
    <w:p>
      <w:pPr>
        <w:jc w:val="both"/>
        <w:ind w:right="360" w:firstLine="560"/>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include financial instruments for which the fair value of such instruments may differ from amounts reflected on a historical cost basis. Financial instruments of the Company consist of cash deposits, accounts and other receivables, prepaid expenses and other current assets, accounts payable, and certain accrued liabilities. These financial instruments are held at cost, which generally approximates fair value due to their short-term nature.</w:t>
      </w:r>
    </w:p>
    <w:p>
      <w:pPr>
        <w:spacing w:after="0" w:line="158" w:lineRule="exact"/>
        <w:rPr>
          <w:sz w:val="20"/>
          <w:szCs w:val="20"/>
          <w:color w:val="auto"/>
        </w:rPr>
      </w:pPr>
    </w:p>
    <w:p>
      <w:pPr>
        <w:ind w:firstLine="560"/>
        <w:spacing w:after="0" w:line="343" w:lineRule="auto"/>
        <w:rPr>
          <w:sz w:val="20"/>
          <w:szCs w:val="20"/>
          <w:color w:val="auto"/>
        </w:rPr>
      </w:pPr>
      <w:r>
        <w:rPr>
          <w:rFonts w:ascii="Times New Roman" w:cs="Times New Roman" w:eastAsia="Times New Roman" w:hAnsi="Times New Roman"/>
          <w:sz w:val="14"/>
          <w:szCs w:val="14"/>
          <w:color w:val="auto"/>
        </w:rPr>
        <w:t xml:space="preserve">The Company follows ASC Topic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02" w:lineRule="exact"/>
        <w:rPr>
          <w:sz w:val="20"/>
          <w:szCs w:val="20"/>
          <w:color w:val="auto"/>
        </w:rPr>
      </w:pPr>
    </w:p>
    <w:p>
      <w:pPr>
        <w:ind w:left="980" w:hanging="426"/>
        <w:spacing w:after="0"/>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1—Unadjusted quoted prices in active markets for identical assets or liabilities.</w:t>
      </w:r>
    </w:p>
    <w:p>
      <w:pPr>
        <w:spacing w:after="0" w:line="212" w:lineRule="exact"/>
        <w:rPr>
          <w:rFonts w:ascii="Times New Roman" w:cs="Times New Roman" w:eastAsia="Times New Roman" w:hAnsi="Times New Roman"/>
          <w:sz w:val="16"/>
          <w:szCs w:val="16"/>
          <w:color w:val="auto"/>
        </w:rPr>
      </w:pPr>
    </w:p>
    <w:p>
      <w:pPr>
        <w:ind w:left="980" w:right="20" w:hanging="426"/>
        <w:spacing w:after="0" w:line="267"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50" w:lineRule="exact"/>
        <w:rPr>
          <w:rFonts w:ascii="Times New Roman" w:cs="Times New Roman" w:eastAsia="Times New Roman" w:hAnsi="Times New Roman"/>
          <w:sz w:val="16"/>
          <w:szCs w:val="16"/>
          <w:color w:val="auto"/>
        </w:rPr>
      </w:pPr>
    </w:p>
    <w:p>
      <w:pPr>
        <w:ind w:left="980" w:right="160" w:hanging="426"/>
        <w:spacing w:after="0" w:line="267"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51"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At December 31, 2025 and 2024, the Company did not have any assets or liabilities that were measured at fair value on a recurring basis. The carrying amounts reflected in the consolidated balance sheets for cash and cash equivalents, receivables, prepaid expenses and other current assets, accounts payable, accrued expenses and debt approximate their fair values at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91" w:lineRule="exact"/>
        <w:rPr>
          <w:sz w:val="20"/>
          <w:szCs w:val="20"/>
          <w:color w:val="auto"/>
        </w:rPr>
      </w:pPr>
    </w:p>
    <w:p>
      <w:pPr>
        <w:ind w:right="40" w:firstLine="560"/>
        <w:spacing w:after="0" w:line="255" w:lineRule="auto"/>
        <w:rPr>
          <w:sz w:val="20"/>
          <w:szCs w:val="20"/>
          <w:color w:val="auto"/>
        </w:rPr>
      </w:pPr>
      <w:r>
        <w:rPr>
          <w:rFonts w:ascii="Times New Roman" w:cs="Times New Roman" w:eastAsia="Times New Roman" w:hAnsi="Times New Roman"/>
          <w:sz w:val="16"/>
          <w:szCs w:val="16"/>
          <w:color w:val="auto"/>
        </w:rPr>
        <w:t>Property and equipment, which consists of land, construction in process, furniture and fixtures, computer and office equipment, scientific equipment, vehicles, mobile facility and building are stated at cost and depreciated over the estimated useful lives of the assets, with the exception of land and construction in process which are not depreciated, using the straight line method. The useful lives are as follows:</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Furniture and fixtures</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7 years</w:t>
            </w:r>
          </w:p>
        </w:tc>
      </w:tr>
      <w:tr>
        <w:trPr>
          <w:trHeight w:val="373"/>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Computer and office equipment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 years</w:t>
            </w:r>
          </w:p>
        </w:tc>
      </w:tr>
      <w:tr>
        <w:trPr>
          <w:trHeight w:val="37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Scientific equipment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 years</w:t>
            </w:r>
          </w:p>
        </w:tc>
      </w:tr>
      <w:tr>
        <w:trPr>
          <w:trHeight w:val="37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Vehicles</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 years</w:t>
            </w:r>
          </w:p>
        </w:tc>
      </w:tr>
      <w:tr>
        <w:trPr>
          <w:trHeight w:val="37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Mobile facility</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4"/>
              </w:rPr>
              <w:t>27.5 years</w:t>
            </w:r>
          </w:p>
        </w:tc>
      </w:tr>
      <w:tr>
        <w:trPr>
          <w:trHeight w:val="37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Building</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39 years</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51" w:name="page52"/>
    <w:bookmarkEnd w:id="51"/>
    <w:p>
      <w:pPr>
        <w:ind w:right="120" w:firstLine="560"/>
        <w:spacing w:after="0" w:line="255" w:lineRule="auto"/>
        <w:rPr>
          <w:sz w:val="20"/>
          <w:szCs w:val="20"/>
          <w:color w:val="auto"/>
        </w:rPr>
      </w:pPr>
      <w:r>
        <w:rPr>
          <w:rFonts w:ascii="Times New Roman" w:cs="Times New Roman" w:eastAsia="Times New Roman" w:hAnsi="Times New Roman"/>
          <w:sz w:val="16"/>
          <w:szCs w:val="16"/>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89"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6"/>
          <w:szCs w:val="16"/>
          <w:color w:val="auto"/>
        </w:rPr>
        <w:t xml:space="preserve">The Company periodically evaluates its long-lived assets for potential impairment in accordance with ASC Topic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Transactions</w:t>
      </w:r>
    </w:p>
    <w:p>
      <w:pPr>
        <w:spacing w:after="0" w:line="191" w:lineRule="exact"/>
        <w:rPr>
          <w:sz w:val="20"/>
          <w:szCs w:val="20"/>
          <w:color w:val="auto"/>
        </w:rPr>
      </w:pPr>
    </w:p>
    <w:p>
      <w:pPr>
        <w:ind w:right="180" w:firstLine="560"/>
        <w:spacing w:after="0" w:line="249" w:lineRule="auto"/>
        <w:rPr>
          <w:sz w:val="20"/>
          <w:szCs w:val="20"/>
          <w:color w:val="auto"/>
        </w:rPr>
      </w:pPr>
      <w:r>
        <w:rPr>
          <w:rFonts w:ascii="Times New Roman" w:cs="Times New Roman" w:eastAsia="Times New Roman" w:hAnsi="Times New Roman"/>
          <w:sz w:val="16"/>
          <w:szCs w:val="16"/>
          <w:color w:val="auto"/>
        </w:rPr>
        <w:t>Certain transactions are denominated in a currency other than the Company’s functional currency of the U.S. dollar, and the Company generates assets and liabilities that are fixed in terms of the amount of foreign currency that will be received or paid. The only significant assets denominated in a foreign currency were certain cash accounts, which were remeasured into the functional currency (U.S. dollar) as of the end of the year, resulting in a foreign exchange gain of $3.3 million for the year ended by December 31, 2025 and a foreign exchange loss of $5.5 million for the year ended by December 31, 2024. Transaction gains and losses are also realized upon a settlement of a foreign currency transaction in determining net loss for the period in which the transaction is settled.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and Geographic Information</w:t>
      </w:r>
    </w:p>
    <w:p>
      <w:pPr>
        <w:spacing w:after="0" w:line="191" w:lineRule="exact"/>
        <w:rPr>
          <w:sz w:val="20"/>
          <w:szCs w:val="20"/>
          <w:color w:val="auto"/>
        </w:rPr>
      </w:pPr>
    </w:p>
    <w:p>
      <w:pPr>
        <w:ind w:right="120" w:firstLine="560"/>
        <w:spacing w:after="0" w:line="251" w:lineRule="auto"/>
        <w:rPr>
          <w:sz w:val="20"/>
          <w:szCs w:val="20"/>
          <w:color w:val="auto"/>
        </w:rPr>
      </w:pPr>
      <w:r>
        <w:rPr>
          <w:rFonts w:ascii="Times New Roman" w:cs="Times New Roman" w:eastAsia="Times New Roman" w:hAnsi="Times New Roman"/>
          <w:sz w:val="16"/>
          <w:szCs w:val="16"/>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191" w:lineRule="exact"/>
        <w:rPr>
          <w:sz w:val="20"/>
          <w:szCs w:val="20"/>
          <w:color w:val="auto"/>
        </w:rPr>
      </w:pPr>
    </w:p>
    <w:p>
      <w:pPr>
        <w:ind w:firstLine="560"/>
        <w:spacing w:after="0" w:line="248" w:lineRule="auto"/>
        <w:rPr>
          <w:sz w:val="20"/>
          <w:szCs w:val="20"/>
          <w:color w:val="auto"/>
        </w:rPr>
      </w:pPr>
      <w:r>
        <w:rPr>
          <w:rFonts w:ascii="Times New Roman" w:cs="Times New Roman" w:eastAsia="Times New Roman" w:hAnsi="Times New Roman"/>
          <w:sz w:val="16"/>
          <w:szCs w:val="16"/>
          <w:color w:val="auto"/>
        </w:rPr>
        <w:t>Net income/loss per share (“EPS”) is computed by dividing net loss by the weighted average number of common shares outstanding during each period. Diluted EPS is computed by dividing net income/loss by the weighted average number of common shares and common share equivalents outstanding (if dilutive) during each period. The number of common share equivalents, which include stock options, is computed using the treasury stock method. The Company does not include the potential impact of dilutive securities in diluted net loss per share, as the impact of these items is anti-dilutive. For the year ended December 31, 2025, all stock options were not included in the computation of diluted net loss per share, as the impact of these items was anti-dilutive. For the year ended December 31, 2024, all stock options and shares issuable under convertible debt agreements were not included in the computation of diluted net loss per share, as the impact of these items was anti-dilutive.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Subsequent Events</w:t>
      </w:r>
    </w:p>
    <w:p>
      <w:pPr>
        <w:spacing w:after="0" w:line="191" w:lineRule="exact"/>
        <w:rPr>
          <w:sz w:val="20"/>
          <w:szCs w:val="20"/>
          <w:color w:val="auto"/>
        </w:rPr>
      </w:pPr>
    </w:p>
    <w:p>
      <w:pPr>
        <w:ind w:right="60" w:firstLine="560"/>
        <w:spacing w:after="0" w:line="267" w:lineRule="auto"/>
        <w:rPr>
          <w:sz w:val="20"/>
          <w:szCs w:val="20"/>
          <w:color w:val="auto"/>
        </w:rPr>
      </w:pPr>
      <w:r>
        <w:rPr>
          <w:rFonts w:ascii="Times New Roman" w:cs="Times New Roman" w:eastAsia="Times New Roman" w:hAnsi="Times New Roman"/>
          <w:sz w:val="16"/>
          <w:szCs w:val="16"/>
          <w:color w:val="auto"/>
        </w:rPr>
        <w:t>The Company considered events or transactions occurring after the balance sheet date but prior to the date the consolidated financial statements were available to be issued for potential recognition or disclosure in its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Recently Issued Accounting Pronouncements</w:t>
      </w:r>
    </w:p>
    <w:p>
      <w:pPr>
        <w:spacing w:after="0" w:line="191" w:lineRule="exact"/>
        <w:rPr>
          <w:sz w:val="20"/>
          <w:szCs w:val="20"/>
          <w:color w:val="auto"/>
        </w:rPr>
      </w:pPr>
    </w:p>
    <w:p>
      <w:pPr>
        <w:ind w:right="20" w:firstLine="436"/>
        <w:spacing w:after="0" w:line="249"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This accounting update improves financial reporting by requiring public business entities to disclose additional information about specific expense categories in the notes to the financial statements at interim and annual reporting periods. This ASU is effective for fiscal years beginning after December 15, 2026, and interim periods within fiscal years beginning after December 15, 2027, with early adoption permitted. We are currently evaluating the impact of implementing this guidance on our financial statements.</w:t>
      </w:r>
    </w:p>
    <w:p>
      <w:pPr>
        <w:spacing w:after="0" w:line="166" w:lineRule="exact"/>
        <w:rPr>
          <w:sz w:val="20"/>
          <w:szCs w:val="20"/>
          <w:color w:val="auto"/>
        </w:rPr>
      </w:pPr>
    </w:p>
    <w:p>
      <w:pPr>
        <w:ind w:right="120" w:firstLine="436"/>
        <w:spacing w:after="0" w:line="247"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("ASU 2023-09"), which enhances the transparency and decision usefulness of income tax disclosures. Adjustments to the annual disclosure of income taxes include: (1) A tabular rate reconciliation comprised of eight specific categories, (2) Incomes taxes paid, disaggregated between significant national, state, and foreign jurisdictions, (3) Eliminates requirements to disclose the nature and estimate of reasonably possible changes to unrecognized tax benefits in the next 12 months or that an estimated range cannot be made, and (4) Adds a requirement to disclose income (or loss) from continuing operations before income tax expense (or benefit) by national and foreign, and income tax expense (or benefit) from continuing operations disaggregated between national, state and foreign. The ASU is effective for public business entities for fiscal years beginning on or after December 15, 2024, and for all other entities for fiscal years beginning on or after December 31, 2025, with early adoption permitted. The amendments in ASU 2023-09 were adopted by the Company on a prospective basis. There was no material impact to the Company's financial statements as a result of adopting ASU 2023-09.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Property and Equipment and Building Construction in Progress</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3"/>
        </w:trPr>
        <w:tc>
          <w:tcPr>
            <w:tcW w:w="5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consisted of the following as of December 31, 2025 and 2024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4"/>
        </w:trPr>
        <w:tc>
          <w:tcPr>
            <w:tcW w:w="5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560" w:type="dxa"/>
            <w:vAlign w:val="bottom"/>
          </w:tcPr>
          <w:p>
            <w:pPr>
              <w:spacing w:after="0"/>
              <w:rPr>
                <w:sz w:val="15"/>
                <w:szCs w:val="15"/>
                <w:color w:val="auto"/>
              </w:rPr>
            </w:pPr>
          </w:p>
        </w:tc>
        <w:tc>
          <w:tcPr>
            <w:tcW w:w="678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Computer and office equipment</w:t>
            </w: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293</w:t>
            </w:r>
          </w:p>
        </w:tc>
        <w:tc>
          <w:tcPr>
            <w:tcW w:w="420" w:type="dxa"/>
            <w:vAlign w:val="bottom"/>
            <w:tcBorders>
              <w:top w:val="single" w:sz="8" w:color="auto"/>
            </w:tcBorders>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290</w:t>
            </w:r>
          </w:p>
        </w:tc>
      </w:tr>
      <w:tr>
        <w:trPr>
          <w:trHeight w:val="187"/>
        </w:trPr>
        <w:tc>
          <w:tcPr>
            <w:tcW w:w="5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133</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r>
      <w:tr>
        <w:trPr>
          <w:trHeight w:val="187"/>
        </w:trPr>
        <w:tc>
          <w:tcPr>
            <w:tcW w:w="56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1,418</w:t>
            </w: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1,418</w:t>
            </w:r>
          </w:p>
        </w:tc>
      </w:tr>
      <w:tr>
        <w:trPr>
          <w:trHeight w:val="187"/>
        </w:trPr>
        <w:tc>
          <w:tcPr>
            <w:tcW w:w="5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Scientific equipment</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16,689</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16,491</w:t>
            </w:r>
          </w:p>
        </w:tc>
      </w:tr>
      <w:tr>
        <w:trPr>
          <w:trHeight w:val="187"/>
        </w:trPr>
        <w:tc>
          <w:tcPr>
            <w:tcW w:w="56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112</w:t>
            </w: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r>
      <w:tr>
        <w:trPr>
          <w:trHeight w:val="187"/>
        </w:trPr>
        <w:tc>
          <w:tcPr>
            <w:tcW w:w="5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Building</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24,173</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24,173</w:t>
            </w:r>
          </w:p>
        </w:tc>
      </w:tr>
      <w:tr>
        <w:trPr>
          <w:trHeight w:val="187"/>
        </w:trPr>
        <w:tc>
          <w:tcPr>
            <w:tcW w:w="56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Mobile facility</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189</w:t>
            </w: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189</w:t>
            </w:r>
          </w:p>
        </w:tc>
      </w:tr>
      <w:tr>
        <w:trPr>
          <w:trHeight w:val="187"/>
        </w:trPr>
        <w:tc>
          <w:tcPr>
            <w:tcW w:w="5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1,792</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1,705</w:t>
            </w:r>
          </w:p>
        </w:tc>
      </w:tr>
      <w:tr>
        <w:trPr>
          <w:trHeight w:val="198"/>
        </w:trPr>
        <w:tc>
          <w:tcPr>
            <w:tcW w:w="56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(21,670)</w:t>
            </w: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(19,985)</w:t>
            </w:r>
          </w:p>
        </w:tc>
      </w:tr>
      <w:tr>
        <w:trPr>
          <w:trHeight w:val="178"/>
        </w:trPr>
        <w:tc>
          <w:tcPr>
            <w:tcW w:w="5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23,129</w:t>
            </w:r>
          </w:p>
        </w:tc>
        <w:tc>
          <w:tcPr>
            <w:tcW w:w="420" w:type="dxa"/>
            <w:vAlign w:val="bottom"/>
            <w:tcBorders>
              <w:bottom w:val="single" w:sz="8" w:color="auto"/>
            </w:tcBorders>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24,526</w:t>
            </w:r>
          </w:p>
        </w:tc>
      </w:tr>
      <w:tr>
        <w:trPr>
          <w:trHeight w:val="20"/>
        </w:trPr>
        <w:tc>
          <w:tcPr>
            <w:tcW w:w="5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6"/>
          <w:szCs w:val="16"/>
          <w:color w:val="auto"/>
        </w:rPr>
        <w:t>Depreciation expenses related to property and equipment amounted to approximately $1.7 million for both the years ended December 31, 2025, and 2024. Construction in process is related to research and development, manufacturing equipment and design plans for an operating facility. Depreciation expense is allocated between research and development and general and administrative expense line items on the consolidated statements of operations. The allocation is as follows for the years ended December 31,2025 and 2024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5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33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Research and development</w:t>
            </w:r>
          </w:p>
        </w:tc>
        <w:tc>
          <w:tcPr>
            <w:tcW w:w="34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0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1,683</w:t>
            </w:r>
          </w:p>
        </w:tc>
        <w:tc>
          <w:tcPr>
            <w:tcW w:w="440" w:type="dxa"/>
            <w:vAlign w:val="bottom"/>
            <w:tcBorders>
              <w:top w:val="single" w:sz="8" w:color="auto"/>
            </w:tcBorders>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1,742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3340" w:type="dxa"/>
            <w:vAlign w:val="bottom"/>
            <w:tcBorders>
              <w:bottom w:val="single" w:sz="8" w:color="CCEEFF"/>
            </w:tcBorders>
            <w:shd w:val="clear" w:color="auto" w:fill="CCEEFF"/>
          </w:tcPr>
          <w:p>
            <w:pPr>
              <w:spacing w:after="0"/>
              <w:rPr>
                <w:sz w:val="15"/>
                <w:szCs w:val="15"/>
                <w:color w:val="auto"/>
              </w:rPr>
            </w:pPr>
          </w:p>
        </w:tc>
        <w:tc>
          <w:tcPr>
            <w:tcW w:w="34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1,686</w:t>
            </w:r>
          </w:p>
        </w:tc>
        <w:tc>
          <w:tcPr>
            <w:tcW w:w="44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1,745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40" w:type="dxa"/>
            <w:vAlign w:val="bottom"/>
            <w:vMerge w:val="restart"/>
          </w:tcPr>
          <w:p>
            <w:pPr>
              <w:jc w:val="right"/>
              <w:ind w:right="1562"/>
              <w:spacing w:after="0"/>
              <w:rPr>
                <w:sz w:val="20"/>
                <w:szCs w:val="20"/>
                <w:color w:val="auto"/>
              </w:rPr>
            </w:pPr>
            <w:r>
              <w:rPr>
                <w:rFonts w:ascii="Times New Roman" w:cs="Times New Roman" w:eastAsia="Times New Roman" w:hAnsi="Times New Roman"/>
                <w:sz w:val="16"/>
                <w:szCs w:val="16"/>
                <w:color w:val="auto"/>
              </w:rPr>
              <w:t>53</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1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4. Accrued Expenses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Accrued expenses consist of the following as of December 31, 2025, and 2024 (in thousands):</w:t>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Accrued compensation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-113030</wp:posOffset>
            </wp:positionV>
            <wp:extent cx="6431915" cy="125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31915" cy="12573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6"/>
          <w:szCs w:val="16"/>
          <w:color w:val="auto"/>
        </w:rPr>
        <w:t>Accrued professional fees</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Accrued clinical trial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-115570</wp:posOffset>
            </wp:positionV>
            <wp:extent cx="6431915" cy="118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1915" cy="11874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6"/>
          <w:szCs w:val="16"/>
          <w:color w:val="auto"/>
        </w:rPr>
        <w:t>Accrued convertible loan interest</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-115570</wp:posOffset>
            </wp:positionV>
            <wp:extent cx="6431915" cy="125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1915" cy="12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Convertible Loan, Related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62"/>
        </w:trPr>
        <w:tc>
          <w:tcPr>
            <w:tcW w:w="20" w:type="dxa"/>
            <w:vAlign w:val="bottom"/>
          </w:tcPr>
          <w:p>
            <w:pPr>
              <w:spacing w:after="0"/>
              <w:rPr>
                <w:sz w:val="14"/>
                <w:szCs w:val="14"/>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5,181</w:t>
            </w:r>
          </w:p>
        </w:tc>
        <w:tc>
          <w:tcPr>
            <w:tcW w:w="440" w:type="dxa"/>
            <w:vAlign w:val="bottom"/>
          </w:tcPr>
          <w:p>
            <w:pPr>
              <w:jc w:val="right"/>
              <w:ind w:right="182"/>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611</w:t>
            </w:r>
          </w:p>
        </w:tc>
      </w:t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w:t>
            </w:r>
          </w:p>
        </w:tc>
      </w:t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1,098</w:t>
            </w:r>
          </w:p>
        </w:tc>
        <w:tc>
          <w:tcPr>
            <w:tcW w:w="44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1,502</w:t>
            </w: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404</w:t>
            </w:r>
          </w:p>
        </w:tc>
      </w:tr>
      <w:tr>
        <w:trPr>
          <w:trHeight w:val="203"/>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39</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88</w:t>
            </w:r>
          </w:p>
        </w:tc>
      </w:tr>
      <w:tr>
        <w:trPr>
          <w:trHeight w:val="179"/>
        </w:trPr>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6,318</w:t>
            </w:r>
          </w:p>
        </w:tc>
        <w:tc>
          <w:tcPr>
            <w:tcW w:w="440" w:type="dxa"/>
            <w:vAlign w:val="bottom"/>
            <w:tcBorders>
              <w:bottom w:val="single" w:sz="8" w:color="auto"/>
            </w:tcBorders>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2,632</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53" w:lineRule="exact"/>
        <w:rPr>
          <w:sz w:val="20"/>
          <w:szCs w:val="20"/>
          <w:color w:val="auto"/>
        </w:rPr>
      </w:pPr>
    </w:p>
    <w:p>
      <w:pPr>
        <w:sectPr>
          <w:pgSz w:w="11900" w:h="16838" w:orient="portrait"/>
          <w:cols w:equalWidth="0" w:num="2">
            <w:col w:w="6620" w:space="720"/>
            <w:col w:w="3920"/>
          </w:cols>
          <w:pgMar w:left="320" w:top="728" w:right="319" w:bottom="1440" w:gutter="0" w:footer="0" w:header="0"/>
        </w:sectPr>
      </w:pPr>
    </w:p>
    <w:p>
      <w:pPr>
        <w:ind w:right="20" w:firstLine="560"/>
        <w:spacing w:after="0" w:line="285" w:lineRule="auto"/>
        <w:rPr>
          <w:sz w:val="20"/>
          <w:szCs w:val="20"/>
          <w:color w:val="auto"/>
        </w:rPr>
      </w:pPr>
      <w:r>
        <w:rPr>
          <w:rFonts w:ascii="Times New Roman" w:cs="Times New Roman" w:eastAsia="Times New Roman" w:hAnsi="Times New Roman"/>
          <w:sz w:val="14"/>
          <w:szCs w:val="14"/>
          <w:color w:val="auto"/>
        </w:rPr>
        <w:t>On January 3, 2024, the Company entered into a Convertible Loan Agreement (the “Loan”) with John Simard, the Company’s Founder, and Chairman and former President and Chief Executive Officer. The Loan provided $10 million in immediate funding for the construction of a new, state-of-the-art research and development facility at the Company’s property at 5217 Winnebago Lane in Austin, Texas. The Loan was secured by the real estate and cash holdings of the Company, with interest to accrue at a simple rate equal to eight percent per year and interest-only payments to be made at six-month intervals. At Mr. Simard’s election, the balance could be converted to XBiotech stock at any time the Loan balance was outstanding at a fixed conversion price equal to $4.048 per share. The conversion feature was subject to a 19.9% cap limiting the number of shares that could be converted under the Loan based on Mr. Simard’s total stock ownership in the Company at the time of conversion. The Loan included an acceleration feature, allowing Mr. Simard to declare immediate cash repayment or conversion under specific acceleration events, including certain financial and non-financial measures, such as payment defaults, breaches of covenants, drop in stock price below $3.00 per share or drop in cash position below $65,000,000. The Loan also allowed Mr. Simard to obtain immediate cash repayment of the Loan balance at his election one year after the loan was funded or upon certain other conditions set forth in the Loan. The Loan had a contractual maturity date of January 3, 2029. The Loan was negotiated, evaluated, and approved on behalf of the Company by a committee of independent and disinterested directors. On January 31, 2025, the Loan was terminated upon full repayment by the Company. As a result, all conversion rights to XBiotech stock associated with the Loan were extinguished.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Common Stock</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Pursuant to its Articles, the Company has an unlimited number of shares available for issuance with no par value.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 shares of common stock were issued during the year ended December 31, 2025.</w:t>
      </w:r>
    </w:p>
    <w:p>
      <w:pPr>
        <w:spacing w:after="0" w:line="189" w:lineRule="exact"/>
        <w:rPr>
          <w:sz w:val="20"/>
          <w:szCs w:val="20"/>
          <w:color w:val="auto"/>
        </w:rPr>
      </w:pPr>
    </w:p>
    <w:p>
      <w:pPr>
        <w:ind w:firstLine="560"/>
        <w:spacing w:after="0" w:line="267" w:lineRule="auto"/>
        <w:rPr>
          <w:sz w:val="20"/>
          <w:szCs w:val="20"/>
          <w:color w:val="auto"/>
        </w:rPr>
      </w:pPr>
      <w:r>
        <w:rPr>
          <w:rFonts w:ascii="Times New Roman" w:cs="Times New Roman" w:eastAsia="Times New Roman" w:hAnsi="Times New Roman"/>
          <w:sz w:val="16"/>
          <w:szCs w:val="16"/>
          <w:color w:val="auto"/>
        </w:rPr>
        <w:t>During the year ended December 31, 2024, 50,767 shares of common stock were issued upon the exercise of stock options, at prices ranging from $3.38 to $5.62 per share, for total proceeds of $200 thousand.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Common Stock Options</w:t>
      </w:r>
    </w:p>
    <w:p>
      <w:pPr>
        <w:spacing w:after="0" w:line="191" w:lineRule="exact"/>
        <w:rPr>
          <w:sz w:val="20"/>
          <w:szCs w:val="20"/>
          <w:color w:val="auto"/>
        </w:rPr>
      </w:pPr>
    </w:p>
    <w:p>
      <w:pPr>
        <w:ind w:right="160" w:firstLine="560"/>
        <w:spacing w:after="0" w:line="251" w:lineRule="auto"/>
        <w:rPr>
          <w:sz w:val="20"/>
          <w:szCs w:val="20"/>
          <w:color w:val="auto"/>
        </w:rPr>
      </w:pPr>
      <w:r>
        <w:rPr>
          <w:rFonts w:ascii="Times New Roman" w:cs="Times New Roman" w:eastAsia="Times New Roman" w:hAnsi="Times New Roman"/>
          <w:sz w:val="16"/>
          <w:szCs w:val="16"/>
          <w:color w:val="auto"/>
        </w:rPr>
        <w:t>On November 11, 2005, the board of directors of the Company adopted the XBiotech Inc. 2005 Incentive Stock Option Plan (the “2005 Plan”). On March 24, 2015, the board of directors of the Company adopted the 2015 Equity Incentive Plan (the “2015 Plan”) and on August 29, 2025, the board of directors of the Company adopted the 2025 Equity Incentive Plan (the “2025 Plan”) pursuant to which the Company may grant incentive stock and non-qualified stock options to directors, officers, employees or consultants of the Company or an affiliate or other persons as the Compensation Committee may approve.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type w:val="continuous"/>
        </w:sectPr>
      </w:pPr>
    </w:p>
    <w:bookmarkStart w:id="54" w:name="page55"/>
    <w:bookmarkEnd w:id="54"/>
    <w:p>
      <w:pPr>
        <w:ind w:right="80" w:firstLine="560"/>
        <w:spacing w:after="0" w:line="267" w:lineRule="auto"/>
        <w:rPr>
          <w:sz w:val="20"/>
          <w:szCs w:val="20"/>
          <w:color w:val="auto"/>
        </w:rPr>
      </w:pPr>
      <w:r>
        <w:rPr>
          <w:rFonts w:ascii="Times New Roman" w:cs="Times New Roman" w:eastAsia="Times New Roman" w:hAnsi="Times New Roman"/>
          <w:sz w:val="16"/>
          <w:szCs w:val="16"/>
          <w:color w:val="auto"/>
        </w:rPr>
        <w:t>All options under the Plans will be non-transferable and may be exercised only by the participant, or in the event of the death of the participant, a legal representative until the earlier of the options’ expiration date or the first anniversary of the participant’s death, or such other date as may be specified by the Compensation Committee.</w:t>
      </w:r>
    </w:p>
    <w:p>
      <w:pPr>
        <w:spacing w:after="0" w:line="151" w:lineRule="exact"/>
        <w:rPr>
          <w:sz w:val="20"/>
          <w:szCs w:val="20"/>
          <w:color w:val="auto"/>
        </w:rPr>
      </w:pPr>
    </w:p>
    <w:p>
      <w:pPr>
        <w:ind w:right="180" w:firstLine="560"/>
        <w:spacing w:after="0" w:line="309" w:lineRule="auto"/>
        <w:rPr>
          <w:sz w:val="20"/>
          <w:szCs w:val="20"/>
          <w:color w:val="auto"/>
        </w:rPr>
      </w:pPr>
      <w:r>
        <w:rPr>
          <w:rFonts w:ascii="Times New Roman" w:cs="Times New Roman" w:eastAsia="Times New Roman" w:hAnsi="Times New Roman"/>
          <w:sz w:val="14"/>
          <w:szCs w:val="14"/>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summary of changes in common stock options issued under the 2015 Plan and under the 2025 Plan is as follows: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5"/>
              </w:rPr>
              <w:t>Weighted-Average</w:t>
            </w:r>
          </w:p>
        </w:tc>
      </w:tr>
      <w:tr>
        <w:trPr>
          <w:trHeight w:val="205"/>
        </w:trPr>
        <w:tc>
          <w:tcPr>
            <w:tcW w:w="506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5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179"/>
        </w:trPr>
        <w:tc>
          <w:tcPr>
            <w:tcW w:w="50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Options outstanding at December 31, 2023</w:t>
            </w:r>
          </w:p>
        </w:tc>
        <w:tc>
          <w:tcPr>
            <w:tcW w:w="1820" w:type="dxa"/>
            <w:vAlign w:val="bottom"/>
            <w:shd w:val="clear" w:color="auto" w:fill="CCEEFF"/>
          </w:tcPr>
          <w:p>
            <w:pPr>
              <w:jc w:val="right"/>
              <w:ind w:right="202"/>
              <w:spacing w:after="0" w:line="179" w:lineRule="exact"/>
              <w:rPr>
                <w:sz w:val="20"/>
                <w:szCs w:val="20"/>
                <w:color w:val="auto"/>
              </w:rPr>
            </w:pPr>
            <w:r>
              <w:rPr>
                <w:rFonts w:ascii="Times New Roman" w:cs="Times New Roman" w:eastAsia="Times New Roman" w:hAnsi="Times New Roman"/>
                <w:sz w:val="16"/>
                <w:szCs w:val="16"/>
                <w:color w:val="auto"/>
              </w:rPr>
              <w:t>5,039,518</w:t>
            </w:r>
          </w:p>
        </w:tc>
        <w:tc>
          <w:tcPr>
            <w:tcW w:w="1560" w:type="dxa"/>
            <w:vAlign w:val="bottom"/>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$2.71-$21.74</w:t>
            </w:r>
          </w:p>
        </w:tc>
        <w:tc>
          <w:tcPr>
            <w:tcW w:w="2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9.46</w:t>
            </w:r>
          </w:p>
        </w:tc>
      </w:tr>
      <w:tr>
        <w:trPr>
          <w:trHeight w:val="187"/>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262,000</w:t>
            </w: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4.05-11.81</w:t>
            </w:r>
          </w:p>
        </w:tc>
        <w:tc>
          <w:tcPr>
            <w:tcW w:w="200" w:type="dxa"/>
            <w:vAlign w:val="bottom"/>
          </w:tcPr>
          <w:p>
            <w:pPr>
              <w:spacing w:after="0"/>
              <w:rPr>
                <w:sz w:val="16"/>
                <w:szCs w:val="16"/>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6.31</w:t>
            </w:r>
          </w:p>
        </w:tc>
      </w:tr>
      <w:tr>
        <w:trPr>
          <w:trHeight w:val="18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8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(50,767)</w:t>
            </w: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3.38-5.62</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3.92</w:t>
            </w:r>
          </w:p>
        </w:tc>
      </w:tr>
      <w:tr>
        <w:trPr>
          <w:trHeight w:val="187"/>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8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(919,166)</w:t>
            </w:r>
          </w:p>
        </w:tc>
        <w:tc>
          <w:tcPr>
            <w:tcW w:w="1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3.84-19.92</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11.52</w:t>
            </w:r>
          </w:p>
        </w:tc>
      </w:tr>
      <w:tr>
        <w:trPr>
          <w:trHeight w:val="178"/>
        </w:trPr>
        <w:tc>
          <w:tcPr>
            <w:tcW w:w="50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Options outstanding at December 31, 2024</w:t>
            </w:r>
          </w:p>
        </w:tc>
        <w:tc>
          <w:tcPr>
            <w:tcW w:w="1820" w:type="dxa"/>
            <w:vAlign w:val="bottom"/>
            <w:shd w:val="clear" w:color="auto" w:fill="CCEEFF"/>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4,331,585</w:t>
            </w:r>
          </w:p>
        </w:tc>
        <w:tc>
          <w:tcPr>
            <w:tcW w:w="156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$2.71-$21.74</w:t>
            </w:r>
          </w:p>
        </w:tc>
        <w:tc>
          <w:tcPr>
            <w:tcW w:w="2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8.89</w:t>
            </w:r>
          </w:p>
        </w:tc>
      </w:tr>
      <w:tr>
        <w:trPr>
          <w:trHeight w:val="187"/>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1,373,747</w:t>
            </w: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2.64-3.89</w:t>
            </w:r>
          </w:p>
        </w:tc>
        <w:tc>
          <w:tcPr>
            <w:tcW w:w="200" w:type="dxa"/>
            <w:vAlign w:val="bottom"/>
          </w:tcPr>
          <w:p>
            <w:pPr>
              <w:spacing w:after="0"/>
              <w:rPr>
                <w:sz w:val="16"/>
                <w:szCs w:val="16"/>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3.34</w:t>
            </w:r>
          </w:p>
        </w:tc>
      </w:tr>
      <w:tr>
        <w:trPr>
          <w:trHeight w:val="18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8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8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(231,425)</w:t>
            </w:r>
          </w:p>
        </w:tc>
        <w:tc>
          <w:tcPr>
            <w:tcW w:w="1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3.16-19.00</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10.01</w:t>
            </w:r>
          </w:p>
        </w:tc>
      </w:tr>
      <w:tr>
        <w:trPr>
          <w:trHeight w:val="178"/>
        </w:trPr>
        <w:tc>
          <w:tcPr>
            <w:tcW w:w="50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Options outstanding at December 31, 2025</w:t>
            </w:r>
          </w:p>
        </w:tc>
        <w:tc>
          <w:tcPr>
            <w:tcW w:w="1820" w:type="dxa"/>
            <w:vAlign w:val="bottom"/>
            <w:tcBorders>
              <w:bottom w:val="single" w:sz="8" w:color="auto"/>
            </w:tcBorders>
            <w:shd w:val="clear" w:color="auto" w:fill="CCEEFF"/>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5,473,907</w:t>
            </w:r>
          </w:p>
        </w:tc>
        <w:tc>
          <w:tcPr>
            <w:tcW w:w="15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$2.64-$21.74</w:t>
            </w:r>
          </w:p>
        </w:tc>
        <w:tc>
          <w:tcPr>
            <w:tcW w:w="2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7.45</w:t>
            </w:r>
          </w:p>
        </w:tc>
      </w:tr>
      <w:tr>
        <w:trPr>
          <w:trHeight w:val="20"/>
        </w:trPr>
        <w:tc>
          <w:tcPr>
            <w:tcW w:w="5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60" w:firstLine="560"/>
        <w:spacing w:after="0" w:line="267" w:lineRule="auto"/>
        <w:rPr>
          <w:sz w:val="20"/>
          <w:szCs w:val="20"/>
          <w:color w:val="auto"/>
        </w:rPr>
      </w:pPr>
      <w:r>
        <w:rPr>
          <w:rFonts w:ascii="Times New Roman" w:cs="Times New Roman" w:eastAsia="Times New Roman" w:hAnsi="Times New Roman"/>
          <w:sz w:val="16"/>
          <w:szCs w:val="16"/>
          <w:color w:val="auto"/>
        </w:rPr>
        <w:t>The weighted average fair value of the options issued to directors, employees and consultants during the fiscal years ended December 31, 2025, and 2024, was $2.68 and $3.96, respectively. The total fair value of options vested during the years ended December 31, 2025, and 2024 was $3.9 million, and $1.6 million, respectively.</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summary of the activity in the Company’s nonvested shares is as follows:</w:t>
      </w:r>
    </w:p>
    <w:p>
      <w:pPr>
        <w:sectPr>
          <w:pgSz w:w="11900" w:h="16838" w:orient="portrait"/>
          <w:cols w:equalWidth="0" w:num="1">
            <w:col w:w="11240"/>
          </w:cols>
          <w:pgMar w:left="320" w:top="5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Nonvested at January 1,</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Granted during the period</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Vested during the period</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Forfeited during the period</w:t>
      </w:r>
    </w:p>
    <w:p>
      <w:pPr>
        <w:spacing w:after="0" w:line="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at end of period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5"/>
        </w:trPr>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bottom w:val="single" w:sz="8" w:color="auto"/>
            </w:tcBorders>
          </w:tcPr>
          <w:p>
            <w:pPr>
              <w:spacing w:after="0"/>
              <w:rPr>
                <w:sz w:val="17"/>
                <w:szCs w:val="17"/>
                <w:color w:val="auto"/>
              </w:rPr>
            </w:pPr>
          </w:p>
        </w:tc>
      </w:tr>
      <w:tr>
        <w:trPr>
          <w:trHeight w:val="160"/>
        </w:trPr>
        <w:tc>
          <w:tcPr>
            <w:tcW w:w="1360" w:type="dxa"/>
            <w:vAlign w:val="bottom"/>
          </w:tcPr>
          <w:p>
            <w:pPr>
              <w:spacing w:after="0"/>
              <w:rPr>
                <w:sz w:val="13"/>
                <w:szCs w:val="13"/>
                <w:color w:val="auto"/>
              </w:rPr>
            </w:pPr>
          </w:p>
        </w:tc>
        <w:tc>
          <w:tcPr>
            <w:tcW w:w="16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87"/>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Granted Date</w:t>
            </w:r>
          </w:p>
        </w:tc>
        <w:tc>
          <w:tcPr>
            <w:tcW w:w="12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Average Granted</w:t>
            </w:r>
          </w:p>
        </w:tc>
      </w:tr>
      <w:tr>
        <w:trPr>
          <w:trHeight w:val="205"/>
        </w:trPr>
        <w:tc>
          <w:tcPr>
            <w:tcW w:w="13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Date Fair Value</w:t>
            </w:r>
          </w:p>
        </w:tc>
      </w:tr>
      <w:tr>
        <w:trPr>
          <w:trHeight w:val="162"/>
        </w:trPr>
        <w:tc>
          <w:tcPr>
            <w:tcW w:w="1360" w:type="dxa"/>
            <w:vAlign w:val="bottom"/>
          </w:tcPr>
          <w:p>
            <w:pPr>
              <w:jc w:val="right"/>
              <w:ind w:right="62"/>
              <w:spacing w:after="0" w:line="162" w:lineRule="exact"/>
              <w:rPr>
                <w:sz w:val="20"/>
                <w:szCs w:val="20"/>
                <w:color w:val="auto"/>
              </w:rPr>
            </w:pPr>
            <w:r>
              <w:rPr>
                <w:rFonts w:ascii="Times New Roman" w:cs="Times New Roman" w:eastAsia="Times New Roman" w:hAnsi="Times New Roman"/>
                <w:sz w:val="16"/>
                <w:szCs w:val="16"/>
                <w:color w:val="auto"/>
              </w:rPr>
              <w:t>257,500</w:t>
            </w:r>
          </w:p>
        </w:tc>
        <w:tc>
          <w:tcPr>
            <w:tcW w:w="18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222"/>
              <w:spacing w:after="0" w:line="162" w:lineRule="exact"/>
              <w:rPr>
                <w:sz w:val="20"/>
                <w:szCs w:val="20"/>
                <w:color w:val="auto"/>
              </w:rPr>
            </w:pPr>
            <w:r>
              <w:rPr>
                <w:rFonts w:ascii="Times New Roman" w:cs="Times New Roman" w:eastAsia="Times New Roman" w:hAnsi="Times New Roman"/>
                <w:sz w:val="16"/>
                <w:szCs w:val="16"/>
                <w:color w:val="auto"/>
              </w:rPr>
              <w:t>3.35</w:t>
            </w:r>
          </w:p>
        </w:tc>
        <w:tc>
          <w:tcPr>
            <w:tcW w:w="124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6"/>
                <w:szCs w:val="16"/>
                <w:color w:val="auto"/>
              </w:rPr>
              <w:t>571,925</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3.30</w:t>
            </w:r>
          </w:p>
        </w:tc>
      </w:tr>
      <w:tr>
        <w:trPr>
          <w:trHeight w:val="187"/>
        </w:trPr>
        <w:tc>
          <w:tcPr>
            <w:tcW w:w="1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1,373,747</w:t>
            </w:r>
          </w:p>
        </w:tc>
        <w:tc>
          <w:tcPr>
            <w:tcW w:w="180" w:type="dxa"/>
            <w:vAlign w:val="bottom"/>
          </w:tcPr>
          <w:p>
            <w:pPr>
              <w:spacing w:after="0"/>
              <w:rPr>
                <w:sz w:val="16"/>
                <w:szCs w:val="16"/>
                <w:color w:val="auto"/>
              </w:rPr>
            </w:pPr>
          </w:p>
        </w:tc>
        <w:tc>
          <w:tcPr>
            <w:tcW w:w="142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2.68</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262,000</w:t>
            </w:r>
          </w:p>
        </w:tc>
        <w:tc>
          <w:tcPr>
            <w:tcW w:w="1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3.96</w:t>
            </w:r>
          </w:p>
        </w:tc>
      </w:tr>
      <w:tr>
        <w:trPr>
          <w:trHeight w:val="187"/>
        </w:trPr>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(1,295,946)</w:t>
            </w:r>
          </w:p>
        </w:tc>
        <w:tc>
          <w:tcPr>
            <w:tcW w:w="180" w:type="dxa"/>
            <w:vAlign w:val="bottom"/>
          </w:tcPr>
          <w:p>
            <w:pPr>
              <w:spacing w:after="0"/>
              <w:rPr>
                <w:sz w:val="16"/>
                <w:szCs w:val="16"/>
                <w:color w:val="auto"/>
              </w:rPr>
            </w:pPr>
          </w:p>
        </w:tc>
        <w:tc>
          <w:tcPr>
            <w:tcW w:w="142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2.98</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(502,675)</w:t>
            </w:r>
          </w:p>
        </w:tc>
        <w:tc>
          <w:tcPr>
            <w:tcW w:w="1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(10,850)</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4.19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(73,750)</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4.42</w:t>
            </w:r>
          </w:p>
        </w:tc>
      </w:tr>
      <w:tr>
        <w:trPr>
          <w:trHeight w:val="179"/>
        </w:trPr>
        <w:tc>
          <w:tcPr>
            <w:tcW w:w="1360" w:type="dxa"/>
            <w:vAlign w:val="bottom"/>
            <w:tcBorders>
              <w:bottom w:val="single" w:sz="8" w:color="auto"/>
            </w:tcBorders>
          </w:tcPr>
          <w:p>
            <w:pPr>
              <w:jc w:val="right"/>
              <w:ind w:right="62"/>
              <w:spacing w:after="0" w:line="179" w:lineRule="exact"/>
              <w:rPr>
                <w:sz w:val="20"/>
                <w:szCs w:val="20"/>
                <w:color w:val="auto"/>
              </w:rPr>
            </w:pPr>
            <w:r>
              <w:rPr>
                <w:rFonts w:ascii="Times New Roman" w:cs="Times New Roman" w:eastAsia="Times New Roman" w:hAnsi="Times New Roman"/>
                <w:sz w:val="16"/>
                <w:szCs w:val="16"/>
                <w:color w:val="auto"/>
              </w:rPr>
              <w:t>324,451</w:t>
            </w:r>
          </w:p>
        </w:tc>
        <w:tc>
          <w:tcPr>
            <w:tcW w:w="180" w:type="dxa"/>
            <w:vAlign w:val="bottom"/>
            <w:tcBorders>
              <w:bottom w:val="single" w:sz="8" w:color="auto"/>
            </w:tcBorders>
          </w:tcPr>
          <w:p>
            <w:pPr>
              <w:ind w:left="80"/>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222"/>
              <w:spacing w:after="0" w:line="179" w:lineRule="exact"/>
              <w:rPr>
                <w:sz w:val="20"/>
                <w:szCs w:val="20"/>
                <w:color w:val="auto"/>
              </w:rPr>
            </w:pPr>
            <w:r>
              <w:rPr>
                <w:rFonts w:ascii="Times New Roman" w:cs="Times New Roman" w:eastAsia="Times New Roman" w:hAnsi="Times New Roman"/>
                <w:sz w:val="16"/>
                <w:szCs w:val="16"/>
                <w:color w:val="auto"/>
              </w:rPr>
              <w:t>1.98</w:t>
            </w:r>
          </w:p>
        </w:tc>
        <w:tc>
          <w:tcPr>
            <w:tcW w:w="1240" w:type="dxa"/>
            <w:vAlign w:val="bottom"/>
            <w:tcBorders>
              <w:bottom w:val="single" w:sz="8" w:color="auto"/>
            </w:tcBorders>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257,500</w:t>
            </w:r>
          </w:p>
        </w:tc>
        <w:tc>
          <w:tcPr>
            <w:tcW w:w="1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3.35</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-629285</wp:posOffset>
            </wp:positionV>
            <wp:extent cx="6431915" cy="12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1915" cy="12573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-384810</wp:posOffset>
            </wp:positionV>
            <wp:extent cx="6431915" cy="11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1915" cy="11874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-147320</wp:posOffset>
            </wp:positionV>
            <wp:extent cx="6431915" cy="13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1915"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520" w:right="339" w:bottom="1440" w:gutter="0" w:footer="0" w:header="0"/>
          <w:type w:val="continuous"/>
        </w:sectPr>
      </w:pPr>
    </w:p>
    <w:p>
      <w:pPr>
        <w:spacing w:after="0" w:line="157" w:lineRule="exact"/>
        <w:rPr>
          <w:sz w:val="20"/>
          <w:szCs w:val="20"/>
          <w:color w:val="auto"/>
        </w:rPr>
      </w:pPr>
    </w:p>
    <w:p>
      <w:pPr>
        <w:ind w:right="580" w:firstLine="560"/>
        <w:spacing w:after="0" w:line="267" w:lineRule="auto"/>
        <w:rPr>
          <w:sz w:val="20"/>
          <w:szCs w:val="20"/>
          <w:color w:val="auto"/>
        </w:rPr>
      </w:pPr>
      <w:r>
        <w:rPr>
          <w:rFonts w:ascii="Times New Roman" w:cs="Times New Roman" w:eastAsia="Times New Roman" w:hAnsi="Times New Roman"/>
          <w:sz w:val="16"/>
          <w:szCs w:val="16"/>
          <w:color w:val="auto"/>
        </w:rPr>
        <w:t>As of December 31, 2025, there was approximately $0.4 million of unrecognized compensation cost, related to stock options granted under the Plan which will be amortized to stock compensation expense over the next 1.0 years. As of December 31, 2025, no outstanding options had intrinsic value.</w:t>
      </w:r>
    </w:p>
    <w:p>
      <w:pPr>
        <w:spacing w:after="0" w:line="151" w:lineRule="exact"/>
        <w:rPr>
          <w:sz w:val="20"/>
          <w:szCs w:val="20"/>
          <w:color w:val="auto"/>
        </w:rPr>
      </w:pPr>
    </w:p>
    <w:p>
      <w:pPr>
        <w:ind w:firstLine="560"/>
        <w:spacing w:after="0" w:line="340" w:lineRule="auto"/>
        <w:rPr>
          <w:sz w:val="20"/>
          <w:szCs w:val="20"/>
          <w:color w:val="auto"/>
        </w:rPr>
      </w:pPr>
      <w:r>
        <w:rPr>
          <w:rFonts w:ascii="Times New Roman" w:cs="Times New Roman" w:eastAsia="Times New Roman" w:hAnsi="Times New Roman"/>
          <w:sz w:val="14"/>
          <w:szCs w:val="14"/>
          <w:color w:val="auto"/>
        </w:rPr>
        <w:t>The weighted-average remaining contractual term of outstanding options as of December 31, 2025 is 5.6 years. Total exercisable stock options as of December 31, 2025 is 5.1 million. The weighted-average exercise price of options exercisable as of December 31, 2025 is $7.7 per share and the weighted-average remaining contractual term is 5.4 years.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8. Net Loss Per Share</w:t>
      </w:r>
    </w:p>
    <w:p>
      <w:pPr>
        <w:spacing w:after="0" w:line="191" w:lineRule="exact"/>
        <w:rPr>
          <w:sz w:val="20"/>
          <w:szCs w:val="20"/>
          <w:color w:val="auto"/>
        </w:rPr>
      </w:pPr>
    </w:p>
    <w:p>
      <w:pPr>
        <w:ind w:right="80" w:firstLine="560"/>
        <w:spacing w:after="0" w:line="267" w:lineRule="auto"/>
        <w:rPr>
          <w:sz w:val="20"/>
          <w:szCs w:val="20"/>
          <w:color w:val="auto"/>
        </w:rPr>
      </w:pPr>
      <w:r>
        <w:rPr>
          <w:rFonts w:ascii="Times New Roman" w:cs="Times New Roman" w:eastAsia="Times New Roman" w:hAnsi="Times New Roman"/>
          <w:sz w:val="16"/>
          <w:szCs w:val="16"/>
          <w:color w:val="auto"/>
        </w:rPr>
        <w:t>The following summarizes the computation of basic and diluted net income(loss) per share for the years ended December 31, 2025, and 2024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5"/>
        </w:trPr>
        <w:tc>
          <w:tcPr>
            <w:tcW w:w="560" w:type="dxa"/>
            <w:vAlign w:val="bottom"/>
          </w:tcPr>
          <w:p>
            <w:pPr>
              <w:spacing w:after="0"/>
              <w:rPr>
                <w:sz w:val="17"/>
                <w:szCs w:val="17"/>
                <w:color w:val="auto"/>
              </w:rPr>
            </w:pPr>
          </w:p>
        </w:tc>
        <w:tc>
          <w:tcPr>
            <w:tcW w:w="57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560" w:type="dxa"/>
            <w:vAlign w:val="bottom"/>
          </w:tcPr>
          <w:p>
            <w:pPr>
              <w:spacing w:after="0"/>
              <w:rPr>
                <w:sz w:val="15"/>
                <w:szCs w:val="15"/>
                <w:color w:val="auto"/>
              </w:rPr>
            </w:pPr>
          </w:p>
        </w:tc>
        <w:tc>
          <w:tcPr>
            <w:tcW w:w="57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(45,540)</w:t>
            </w:r>
          </w:p>
        </w:tc>
        <w:tc>
          <w:tcPr>
            <w:tcW w:w="42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(38,531)</w:t>
            </w:r>
          </w:p>
        </w:tc>
      </w:tr>
      <w:tr>
        <w:trPr>
          <w:trHeight w:val="187"/>
        </w:trPr>
        <w:tc>
          <w:tcPr>
            <w:tcW w:w="56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shares—basic</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30,487,731</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30,460,980</w:t>
            </w:r>
          </w:p>
        </w:tc>
      </w:tr>
      <w:tr>
        <w:trPr>
          <w:trHeight w:val="187"/>
        </w:trPr>
        <w:tc>
          <w:tcPr>
            <w:tcW w:w="56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share—basic</w:t>
            </w:r>
          </w:p>
        </w:tc>
        <w:tc>
          <w:tcPr>
            <w:tcW w:w="14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4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187"/>
        </w:trPr>
        <w:tc>
          <w:tcPr>
            <w:tcW w:w="56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shares—diluted</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30,487,731</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30,460,980</w:t>
            </w:r>
          </w:p>
        </w:tc>
      </w:tr>
      <w:tr>
        <w:trPr>
          <w:trHeight w:val="187"/>
        </w:trPr>
        <w:tc>
          <w:tcPr>
            <w:tcW w:w="56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share—diluted</w:t>
            </w:r>
          </w:p>
        </w:tc>
        <w:tc>
          <w:tcPr>
            <w:tcW w:w="14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4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770"/>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 Income Taxes</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56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loss before income taxes are as follows (in thousands):</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6"/>
        </w:trPr>
        <w:tc>
          <w:tcPr>
            <w:tcW w:w="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05"/>
        </w:trPr>
        <w:tc>
          <w:tcPr>
            <w:tcW w:w="560" w:type="dxa"/>
            <w:vAlign w:val="bottom"/>
          </w:tcPr>
          <w:p>
            <w:pPr>
              <w:spacing w:after="0"/>
              <w:rPr>
                <w:sz w:val="17"/>
                <w:szCs w:val="17"/>
                <w:color w:val="auto"/>
              </w:rPr>
            </w:pPr>
          </w:p>
        </w:tc>
        <w:tc>
          <w:tcPr>
            <w:tcW w:w="57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560" w:type="dxa"/>
            <w:vAlign w:val="bottom"/>
          </w:tcPr>
          <w:p>
            <w:pPr>
              <w:spacing w:after="0"/>
              <w:rPr>
                <w:sz w:val="15"/>
                <w:szCs w:val="15"/>
                <w:color w:val="auto"/>
              </w:rPr>
            </w:pPr>
          </w:p>
        </w:tc>
        <w:tc>
          <w:tcPr>
            <w:tcW w:w="57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1,178</w:t>
            </w:r>
          </w:p>
        </w:tc>
        <w:tc>
          <w:tcPr>
            <w:tcW w:w="42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(26,313)</w:t>
            </w:r>
          </w:p>
        </w:tc>
      </w:tr>
      <w:tr>
        <w:trPr>
          <w:trHeight w:val="187"/>
        </w:trPr>
        <w:tc>
          <w:tcPr>
            <w:tcW w:w="560" w:type="dxa"/>
            <w:vAlign w:val="bottom"/>
          </w:tcPr>
          <w:p>
            <w:pPr>
              <w:spacing w:after="0"/>
              <w:rPr>
                <w:sz w:val="16"/>
                <w:szCs w:val="16"/>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w:t>
            </w:r>
          </w:p>
        </w:tc>
        <w:tc>
          <w:tcPr>
            <w:tcW w:w="1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(46,483)</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(12,250)</w:t>
            </w:r>
          </w:p>
        </w:tc>
      </w:tr>
      <w:tr>
        <w:trPr>
          <w:trHeight w:val="178"/>
        </w:trPr>
        <w:tc>
          <w:tcPr>
            <w:tcW w:w="56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10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(45,305)</w:t>
            </w:r>
          </w:p>
        </w:tc>
        <w:tc>
          <w:tcPr>
            <w:tcW w:w="42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(38,563)</w:t>
            </w:r>
          </w:p>
        </w:tc>
      </w:tr>
    </w:tbl>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components of the provision for income taxes are as follows for the years ended December 31, 2025, and 2024 (in thousands):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3"/>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05"/>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654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153</w:t>
            </w:r>
          </w:p>
        </w:tc>
        <w:tc>
          <w:tcPr>
            <w:tcW w:w="460" w:type="dxa"/>
            <w:vAlign w:val="bottom"/>
            <w:shd w:val="clear" w:color="auto" w:fill="CCEEFF"/>
          </w:tcPr>
          <w:p>
            <w:pPr>
              <w:jc w:val="right"/>
              <w:ind w:right="22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(49)</w:t>
            </w:r>
          </w:p>
        </w:tc>
      </w:tr>
      <w:tr>
        <w:trPr>
          <w:trHeight w:val="198"/>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77</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r>
      <w:tr>
        <w:trPr>
          <w:trHeight w:val="178"/>
        </w:trPr>
        <w:tc>
          <w:tcPr>
            <w:tcW w:w="6540" w:type="dxa"/>
            <w:vAlign w:val="bottom"/>
            <w:shd w:val="clear" w:color="auto" w:fill="CCEEFF"/>
          </w:tcPr>
          <w:p>
            <w:pPr>
              <w:ind w:left="280"/>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230</w:t>
            </w: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(32)</w:t>
            </w:r>
          </w:p>
        </w:tc>
      </w:tr>
      <w:tr>
        <w:trPr>
          <w:trHeight w:val="178"/>
        </w:trPr>
        <w:tc>
          <w:tcPr>
            <w:tcW w:w="65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Deferred</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4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78"/>
        </w:trPr>
        <w:tc>
          <w:tcPr>
            <w:tcW w:w="6540" w:type="dxa"/>
            <w:vAlign w:val="bottom"/>
            <w:tcBorders>
              <w:bottom w:val="single" w:sz="8" w:color="CCEEFF"/>
            </w:tcBorders>
          </w:tcPr>
          <w:p>
            <w:pPr>
              <w:ind w:left="280"/>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5</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w:t>
            </w:r>
          </w:p>
        </w:tc>
      </w:tr>
      <w:tr>
        <w:trPr>
          <w:trHeight w:val="178"/>
        </w:trPr>
        <w:tc>
          <w:tcPr>
            <w:tcW w:w="6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7"/>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360" w:type="dxa"/>
            <w:vAlign w:val="bottom"/>
            <w:tcBorders>
              <w:bottom w:val="single" w:sz="8" w:color="auto"/>
            </w:tcBorders>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235</w:t>
            </w:r>
          </w:p>
        </w:tc>
        <w:tc>
          <w:tcPr>
            <w:tcW w:w="4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following is a reconciliation from the Company's statuary rate to the effective tax rate reported in the financial statements for the year ended December 31, 2025:</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Amount</w:t>
            </w:r>
          </w:p>
        </w:tc>
        <w:tc>
          <w:tcPr>
            <w:tcW w:w="150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(in thousands)</w:t>
            </w:r>
          </w:p>
        </w:tc>
        <w:tc>
          <w:tcPr>
            <w:tcW w:w="15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Percentage</w:t>
            </w:r>
          </w:p>
        </w:tc>
      </w:tr>
      <w:tr>
        <w:trPr>
          <w:trHeight w:val="18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Tax expense at statutory rate</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(6,796)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18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and local income taxes, net of federal benefit of state</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18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162(m) Executive Compensation</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4,368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18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rate differential</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1,819</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18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R&amp;D Credit</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(1,294)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18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deferred provision - Deferred true-ups</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520</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18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deferred provision - Valuation Allowance</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(5,789)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18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75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178"/>
        </w:trPr>
        <w:tc>
          <w:tcPr>
            <w:tcW w:w="6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US</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(301)</w:t>
            </w:r>
          </w:p>
        </w:tc>
        <w:tc>
          <w:tcPr>
            <w:tcW w:w="1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0.67%</w:t>
            </w:r>
          </w:p>
        </w:tc>
      </w:tr>
      <w:tr>
        <w:trPr>
          <w:trHeight w:val="187"/>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Federal Law Changes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18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Effect of Cross-Border Tax Laws</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727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18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Tax Credits (Federal)</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18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Valuation Allowance (Federal)</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7,297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187"/>
        </w:trPr>
        <w:tc>
          <w:tcPr>
            <w:tcW w:w="6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Deduction for Foreign Affiliate Property Income (FAPI)</w:t>
            </w:r>
          </w:p>
        </w:tc>
        <w:tc>
          <w:tcPr>
            <w:tcW w:w="200" w:type="dxa"/>
            <w:vAlign w:val="bottom"/>
          </w:tcPr>
          <w:p>
            <w:pPr>
              <w:spacing w:after="0"/>
              <w:rPr>
                <w:sz w:val="16"/>
                <w:szCs w:val="16"/>
                <w:color w:val="auto"/>
              </w:rPr>
            </w:pPr>
          </w:p>
        </w:tc>
        <w:tc>
          <w:tcPr>
            <w:tcW w:w="16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(611)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18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FX Loss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(500)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87"/>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59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178"/>
        </w:trPr>
        <w:tc>
          <w:tcPr>
            <w:tcW w:w="6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Non-Deductible or Non-Taxable Items</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(1,052)</w:t>
            </w:r>
          </w:p>
        </w:tc>
        <w:tc>
          <w:tcPr>
            <w:tcW w:w="1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2.32%</w:t>
            </w:r>
          </w:p>
        </w:tc>
      </w:tr>
      <w:tr>
        <w:trPr>
          <w:trHeight w:val="18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Unrecognized Tax Benefits</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360</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187"/>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178"/>
        </w:trPr>
        <w:tc>
          <w:tcPr>
            <w:tcW w:w="67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ind w:right="242"/>
              <w:spacing w:after="0" w:line="178" w:lineRule="exact"/>
              <w:rPr>
                <w:sz w:val="20"/>
                <w:szCs w:val="20"/>
                <w:color w:val="auto"/>
              </w:rPr>
            </w:pPr>
            <w:r>
              <w:rPr>
                <w:rFonts w:ascii="Times New Roman" w:cs="Times New Roman" w:eastAsia="Times New Roman" w:hAnsi="Times New Roman"/>
                <w:sz w:val="16"/>
                <w:szCs w:val="16"/>
                <w:color w:val="auto"/>
              </w:rPr>
              <w:t>235</w:t>
            </w:r>
          </w:p>
        </w:tc>
        <w:tc>
          <w:tcPr>
            <w:tcW w:w="15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-0.52%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6"/>
          <w:szCs w:val="16"/>
          <w:color w:val="auto"/>
        </w:rPr>
        <w:t>The Company's effective tax rate for the year ended December 31, 2025 and December 31, 2024 were -0.52% and 0.08%, respectively. For the year ended December 31, 2025, the primary drivers of the variance from the statutory rate were losses in jurisdictions for which a valuation allowance is recorded and a benefit may not be recognized. For the year ended December 31, 2024, the primary drivers of the variance from the statutory rate were losses in jurisdictions for which a valuation allowance is recorded and a benefit may not be recognized.</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40"/>
          </w:cols>
          <w:pgMar w:left="320" w:top="728" w:right="439" w:bottom="1440" w:gutter="0" w:footer="0" w:header="0"/>
        </w:sectPr>
      </w:pPr>
    </w:p>
    <w:bookmarkStart w:id="56" w:name="page57"/>
    <w:bookmarkEnd w:id="56"/>
    <w:p>
      <w:pPr>
        <w:ind w:left="560"/>
        <w:spacing w:after="0"/>
        <w:rPr>
          <w:sz w:val="20"/>
          <w:szCs w:val="20"/>
          <w:color w:val="auto"/>
        </w:rPr>
      </w:pPr>
      <w:r>
        <w:rPr>
          <w:rFonts w:ascii="Times New Roman" w:cs="Times New Roman" w:eastAsia="Times New Roman" w:hAnsi="Times New Roman"/>
          <w:sz w:val="16"/>
          <w:szCs w:val="16"/>
          <w:color w:val="auto"/>
        </w:rPr>
        <w:t>For the year ended December 31, 2025, a majority of the Company's state income tax expense relates to Texas.</w:t>
      </w:r>
    </w:p>
    <w:p>
      <w:pPr>
        <w:spacing w:after="0" w:line="189" w:lineRule="exact"/>
        <w:rPr>
          <w:sz w:val="20"/>
          <w:szCs w:val="20"/>
          <w:color w:val="auto"/>
        </w:rPr>
      </w:pPr>
    </w:p>
    <w:p>
      <w:pPr>
        <w:ind w:right="300" w:firstLine="560"/>
        <w:spacing w:after="0" w:line="267" w:lineRule="auto"/>
        <w:rPr>
          <w:sz w:val="20"/>
          <w:szCs w:val="20"/>
          <w:color w:val="auto"/>
        </w:rPr>
      </w:pPr>
      <w:r>
        <w:rPr>
          <w:rFonts w:ascii="Times New Roman" w:cs="Times New Roman" w:eastAsia="Times New Roman" w:hAnsi="Times New Roman"/>
          <w:sz w:val="16"/>
          <w:szCs w:val="16"/>
          <w:color w:val="auto"/>
        </w:rPr>
        <w:t>The tax effect of temporary differences between the financial statement carrying amounts of existing assets and liabilities and their respective tax bases that give rise to deferred tax assets and liabilities is as follows:</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48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Net operating loss carryforwards</w:t>
            </w:r>
          </w:p>
        </w:tc>
        <w:tc>
          <w:tcPr>
            <w:tcW w:w="19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2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15,184</w:t>
            </w:r>
          </w:p>
        </w:tc>
        <w:tc>
          <w:tcPr>
            <w:tcW w:w="420" w:type="dxa"/>
            <w:vAlign w:val="bottom"/>
            <w:tcBorders>
              <w:top w:val="single" w:sz="8" w:color="auto"/>
            </w:tcBorders>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2,799</w:t>
            </w: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other credits</w:t>
            </w:r>
          </w:p>
        </w:tc>
        <w:tc>
          <w:tcPr>
            <w:tcW w:w="1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10,350</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9,150</w:t>
            </w:r>
          </w:p>
        </w:tc>
      </w:tr>
      <w:tr>
        <w:trPr>
          <w:trHeight w:val="18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1,784</w:t>
            </w: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1,760</w:t>
            </w: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research expenses</w:t>
            </w:r>
          </w:p>
        </w:tc>
        <w:tc>
          <w:tcPr>
            <w:tcW w:w="1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6,404</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12,654</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9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347</w:t>
            </w: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414</w:t>
            </w:r>
          </w:p>
        </w:tc>
      </w:tr>
      <w:tr>
        <w:trPr>
          <w:trHeight w:val="178"/>
        </w:trPr>
        <w:tc>
          <w:tcPr>
            <w:tcW w:w="48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34,069</w:t>
            </w:r>
          </w:p>
        </w:tc>
        <w:tc>
          <w:tcPr>
            <w:tcW w:w="420" w:type="dxa"/>
            <w:vAlign w:val="bottom"/>
          </w:tcPr>
          <w:p>
            <w:pPr>
              <w:spacing w:after="0"/>
              <w:rPr>
                <w:sz w:val="15"/>
                <w:szCs w:val="15"/>
                <w:color w:val="auto"/>
              </w:rPr>
            </w:pPr>
          </w:p>
        </w:tc>
        <w:tc>
          <w:tcPr>
            <w:tcW w:w="1260" w:type="dxa"/>
            <w:vAlign w:val="bottom"/>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26,777</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9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(33,891)</w:t>
            </w: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w:t>
            </w:r>
          </w:p>
        </w:tc>
      </w:tr>
      <w:tr>
        <w:trPr>
          <w:trHeight w:val="178"/>
        </w:trPr>
        <w:tc>
          <w:tcPr>
            <w:tcW w:w="48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Deferred tax assets</w:t>
            </w:r>
          </w:p>
        </w:tc>
        <w:tc>
          <w:tcPr>
            <w:tcW w:w="1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178</w:t>
            </w:r>
          </w:p>
        </w:tc>
        <w:tc>
          <w:tcPr>
            <w:tcW w:w="420" w:type="dxa"/>
            <w:vAlign w:val="bottom"/>
          </w:tcPr>
          <w:p>
            <w:pPr>
              <w:spacing w:after="0"/>
              <w:rPr>
                <w:sz w:val="15"/>
                <w:szCs w:val="15"/>
                <w:color w:val="auto"/>
              </w:rPr>
            </w:pPr>
          </w:p>
        </w:tc>
        <w:tc>
          <w:tcPr>
            <w:tcW w:w="1260" w:type="dxa"/>
            <w:vAlign w:val="bottom"/>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395</w:t>
            </w:r>
          </w:p>
        </w:tc>
      </w:tr>
      <w:tr>
        <w:trPr>
          <w:trHeight w:val="187"/>
        </w:trPr>
        <w:tc>
          <w:tcPr>
            <w:tcW w:w="48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112</w:t>
            </w:r>
          </w:p>
        </w:tc>
        <w:tc>
          <w:tcPr>
            <w:tcW w:w="42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323</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assets</w:t>
            </w:r>
          </w:p>
        </w:tc>
        <w:tc>
          <w:tcPr>
            <w:tcW w:w="19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w:t>
            </w: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w:t>
            </w:r>
          </w:p>
        </w:tc>
      </w:tr>
      <w:tr>
        <w:trPr>
          <w:trHeight w:val="178"/>
        </w:trPr>
        <w:tc>
          <w:tcPr>
            <w:tcW w:w="484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Deferred tax liability</w:t>
            </w:r>
          </w:p>
        </w:tc>
        <w:tc>
          <w:tcPr>
            <w:tcW w:w="19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183</w:t>
            </w: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395</w:t>
            </w:r>
          </w:p>
        </w:tc>
      </w:tr>
      <w:tr>
        <w:trPr>
          <w:trHeight w:val="178"/>
        </w:trPr>
        <w:tc>
          <w:tcPr>
            <w:tcW w:w="484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deferred tax asset (liability)</w:t>
            </w:r>
          </w:p>
        </w:tc>
        <w:tc>
          <w:tcPr>
            <w:tcW w:w="19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(5)</w:t>
            </w:r>
          </w:p>
        </w:tc>
        <w:tc>
          <w:tcPr>
            <w:tcW w:w="42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560"/>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2025, the Company has federal, state post-apportioned, and foreign net operating loss carryforwards of $2.1 million, $0 and $54.6 million, respectively. Of the federal amount, none have a limited carryforward period and will expire; $2.1 million will have an indefinite carryforward period. Of the foreign amount, $54.6 million has a limited carryforward period and will begin to expire in 2044. These credits are presented in the financial statements net of $439 thousand of related uncertain tax positions. As of December 31, 2024, credits were presented in the financial statements net of $2.1 million of related uncertain tax positions. In accordance with Section 382 and Section 383, utilization of the NOL and tax credit carryforwards may subject to limitations based on prior or future ownership changes. Additionally, after weighing up all available and positive and negative evidence for the period ended December 31, 2025, the Company has determined a full valuation allowance for all jurisdictions was necessary.</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For the year ended December 31, 2025, the Company considers all foreign earnings to be permanently reinvested.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57" w:name="page58"/>
    <w:bookmarkEnd w:id="57"/>
    <w:p>
      <w:pPr>
        <w:ind w:right="40" w:firstLine="560"/>
        <w:spacing w:after="0" w:line="249" w:lineRule="auto"/>
        <w:rPr>
          <w:sz w:val="20"/>
          <w:szCs w:val="20"/>
          <w:color w:val="auto"/>
        </w:rPr>
      </w:pPr>
      <w:r>
        <w:rPr>
          <w:rFonts w:ascii="Times New Roman" w:cs="Times New Roman" w:eastAsia="Times New Roman" w:hAnsi="Times New Roman"/>
          <w:sz w:val="16"/>
          <w:szCs w:val="16"/>
          <w:color w:val="auto"/>
        </w:rPr>
        <w:t>The Company is subject to income tax in multiple jurisdictions, including Canada, USA, and the state of Texas. The Company has Canadian, USA, and Texas income tax returns that are open to examination for the 2022, and 2021 tax years, respectively. In addition, the utilization of tax carryforwards, from years prior to those previously mentioned may also be audited by the taxing authorities once utilized. As a result, the Company continuously monitors its current and prior filing positions in order to determine if any unrecognized tax positions need to be recorded. The analysis involves considerable judgement and is based on the best information available. A reconciliation of the beginning and ending amount of unrecognized tax benefits as of December 31, 2025 and 2024 are as follows (in thousands):</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80" w:type="dxa"/>
            <w:vAlign w:val="bottom"/>
            <w:gridSpan w:val="3"/>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60" w:type="dxa"/>
            <w:vAlign w:val="bottom"/>
          </w:tcPr>
          <w:p>
            <w:pPr>
              <w:spacing w:after="0"/>
              <w:rPr>
                <w:sz w:val="16"/>
                <w:szCs w:val="16"/>
                <w:color w:val="auto"/>
              </w:rPr>
            </w:pPr>
          </w:p>
        </w:tc>
      </w:tr>
      <w:tr>
        <w:trPr>
          <w:trHeight w:val="205"/>
        </w:trPr>
        <w:tc>
          <w:tcPr>
            <w:tcW w:w="5220" w:type="dxa"/>
            <w:vAlign w:val="bottom"/>
          </w:tcPr>
          <w:p>
            <w:pPr>
              <w:spacing w:after="0"/>
              <w:rPr>
                <w:sz w:val="17"/>
                <w:szCs w:val="17"/>
                <w:color w:val="auto"/>
              </w:rPr>
            </w:pPr>
          </w:p>
        </w:tc>
        <w:tc>
          <w:tcPr>
            <w:tcW w:w="26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7"/>
                <w:szCs w:val="17"/>
                <w:color w:val="auto"/>
              </w:rPr>
            </w:pPr>
          </w:p>
        </w:tc>
      </w:tr>
      <w:tr>
        <w:trPr>
          <w:trHeight w:val="179"/>
        </w:trPr>
        <w:tc>
          <w:tcPr>
            <w:tcW w:w="52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Balance as of January 1</w:t>
            </w:r>
          </w:p>
        </w:tc>
        <w:tc>
          <w:tcPr>
            <w:tcW w:w="15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0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3,434</w:t>
            </w:r>
          </w:p>
        </w:tc>
        <w:tc>
          <w:tcPr>
            <w:tcW w:w="1120" w:type="dxa"/>
            <w:vAlign w:val="bottom"/>
            <w:tcBorders>
              <w:top w:val="single" w:sz="8" w:color="auto"/>
            </w:tcBorders>
            <w:shd w:val="clear" w:color="auto" w:fill="CCEEFF"/>
          </w:tcPr>
          <w:p>
            <w:pPr>
              <w:jc w:val="right"/>
              <w:ind w:right="8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2,973</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329</w:t>
            </w:r>
          </w:p>
        </w:tc>
        <w:tc>
          <w:tcPr>
            <w:tcW w:w="1120" w:type="dxa"/>
            <w:vAlign w:val="bottom"/>
          </w:tcPr>
          <w:p>
            <w:pPr>
              <w:spacing w:after="0"/>
              <w:rPr>
                <w:sz w:val="16"/>
                <w:szCs w:val="16"/>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660</w:t>
            </w:r>
          </w:p>
        </w:tc>
      </w:tr>
      <w:tr>
        <w:trPr>
          <w:trHeight w:val="18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120" w:type="dxa"/>
            <w:vAlign w:val="bottom"/>
          </w:tcPr>
          <w:p>
            <w:pPr>
              <w:spacing w:after="0"/>
              <w:rPr>
                <w:sz w:val="16"/>
                <w:szCs w:val="16"/>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Reductions related to settlements</w:t>
            </w:r>
          </w:p>
        </w:tc>
        <w:tc>
          <w:tcPr>
            <w:tcW w:w="1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198"/>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Reductions from lapse of statute of limitations</w:t>
            </w:r>
          </w:p>
        </w:tc>
        <w:tc>
          <w:tcPr>
            <w:tcW w:w="15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78"/>
        </w:trPr>
        <w:tc>
          <w:tcPr>
            <w:tcW w:w="522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w:t>
            </w:r>
          </w:p>
        </w:tc>
        <w:tc>
          <w:tcPr>
            <w:tcW w:w="15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3,716</w:t>
            </w:r>
          </w:p>
        </w:tc>
        <w:tc>
          <w:tcPr>
            <w:tcW w:w="1120" w:type="dxa"/>
            <w:vAlign w:val="bottom"/>
            <w:tcBorders>
              <w:bottom w:val="single" w:sz="8" w:color="auto"/>
            </w:tcBorders>
            <w:shd w:val="clear" w:color="auto" w:fill="CCEEFF"/>
          </w:tcPr>
          <w:p>
            <w:pPr>
              <w:jc w:val="right"/>
              <w:ind w:right="8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3,434</w:t>
            </w:r>
          </w:p>
        </w:tc>
      </w:tr>
      <w:tr>
        <w:trPr>
          <w:trHeight w:val="20"/>
        </w:trPr>
        <w:tc>
          <w:tcPr>
            <w:tcW w:w="5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firstLine="560"/>
        <w:spacing w:after="0" w:line="267" w:lineRule="auto"/>
        <w:rPr>
          <w:sz w:val="20"/>
          <w:szCs w:val="20"/>
          <w:color w:val="auto"/>
        </w:rPr>
      </w:pPr>
      <w:r>
        <w:rPr>
          <w:rFonts w:ascii="Times New Roman" w:cs="Times New Roman" w:eastAsia="Times New Roman" w:hAnsi="Times New Roman"/>
          <w:sz w:val="16"/>
          <w:szCs w:val="16"/>
          <w:color w:val="auto"/>
        </w:rPr>
        <w:t>The Company has accrued interest expense and penalties related to the unrecognized tax benefits for the periods ended December 31, 2025 and 2024 of $414 thousand and $337 thousand, respectively. As of December 31, 2025, the unrecognized tax benefits would, if recognized, impact our effective tax rate.</w:t>
      </w:r>
    </w:p>
    <w:p>
      <w:pPr>
        <w:spacing w:after="0" w:line="337"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summarizes the Company's tax payments and refunds by jurisdiction (in thousands).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54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 (Refunded)</w:t>
            </w:r>
          </w:p>
        </w:tc>
        <w:tc>
          <w:tcPr>
            <w:tcW w:w="340" w:type="dxa"/>
            <w:vAlign w:val="bottom"/>
          </w:tcPr>
          <w:p>
            <w:pPr>
              <w:spacing w:after="0"/>
              <w:rPr>
                <w:sz w:val="24"/>
                <w:szCs w:val="24"/>
                <w:color w:val="auto"/>
              </w:rPr>
            </w:pPr>
          </w:p>
        </w:tc>
        <w:tc>
          <w:tcPr>
            <w:tcW w:w="3000" w:type="dxa"/>
            <w:vAlign w:val="bottom"/>
            <w:gridSpan w:val="3"/>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05"/>
        </w:trPr>
        <w:tc>
          <w:tcPr>
            <w:tcW w:w="67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67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Texas</w:t>
            </w:r>
          </w:p>
        </w:tc>
        <w:tc>
          <w:tcPr>
            <w:tcW w:w="34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CEEFF"/>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2</w:t>
            </w:r>
          </w:p>
        </w:tc>
      </w:tr>
      <w:tr>
        <w:trPr>
          <w:trHeight w:val="187"/>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85</w:t>
            </w:r>
          </w:p>
        </w:tc>
      </w:tr>
      <w:tr>
        <w:trPr>
          <w:trHeight w:val="178"/>
        </w:trPr>
        <w:tc>
          <w:tcPr>
            <w:tcW w:w="678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(81)</w:t>
            </w:r>
          </w:p>
        </w:tc>
        <w:tc>
          <w:tcPr>
            <w:tcW w:w="420" w:type="dxa"/>
            <w:vAlign w:val="bottom"/>
            <w:tcBorders>
              <w:bottom w:val="single" w:sz="8" w:color="auto"/>
            </w:tcBorders>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87</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Evaluation of our Disclosure Controls and Procedures</w:t>
      </w:r>
    </w:p>
    <w:p>
      <w:pPr>
        <w:spacing w:after="0" w:line="191" w:lineRule="exact"/>
        <w:rPr>
          <w:sz w:val="20"/>
          <w:szCs w:val="20"/>
          <w:color w:val="auto"/>
        </w:rPr>
      </w:pPr>
    </w:p>
    <w:p>
      <w:pPr>
        <w:ind w:right="140" w:firstLine="420"/>
        <w:spacing w:after="0" w:line="293" w:lineRule="auto"/>
        <w:rPr>
          <w:sz w:val="20"/>
          <w:szCs w:val="20"/>
          <w:color w:val="auto"/>
        </w:rPr>
      </w:pPr>
      <w:r>
        <w:rPr>
          <w:rFonts w:ascii="Times New Roman" w:cs="Times New Roman" w:eastAsia="Times New Roman" w:hAnsi="Times New Roman"/>
          <w:sz w:val="14"/>
          <w:szCs w:val="14"/>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Annual Report on Internal Control over Financial Reporting</w:t>
      </w:r>
    </w:p>
    <w:p>
      <w:pPr>
        <w:spacing w:after="0" w:line="191" w:lineRule="exact"/>
        <w:rPr>
          <w:sz w:val="20"/>
          <w:szCs w:val="20"/>
          <w:color w:val="auto"/>
        </w:rPr>
      </w:pPr>
    </w:p>
    <w:p>
      <w:pPr>
        <w:ind w:right="40" w:firstLine="436"/>
        <w:spacing w:after="0" w:line="293"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the Company’s financial reporting (as defined in Rule 13a-15(f) under the Exchange Act). The Company’s management, with the participation of the Chief Executive Officer and Principal Financial Officer, conducted an assessment of the effectiveness of our internal control over financial reporting based on the criteria set forth in Internal Control – Integrated Framework issued by the Committee of Sponsoring Organizations of the Treadway Commission (2013 framework). Based on our management’s assessment, we have concluded that our internal control over financial reporting was effective as of December 31, 2025, to provide reasonable assurance regarding the reliability of financial reporting and the preparation of financial statements in accordance with GAAP.</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520"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1"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that occurred during the quarter ended December 31, 2025 that has materially affected, or is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Effectiveness of Controls and Procedures</w:t>
      </w:r>
    </w:p>
    <w:p>
      <w:pPr>
        <w:spacing w:after="0" w:line="191" w:lineRule="exact"/>
        <w:rPr>
          <w:sz w:val="20"/>
          <w:szCs w:val="20"/>
          <w:color w:val="auto"/>
        </w:rPr>
      </w:pPr>
    </w:p>
    <w:p>
      <w:pPr>
        <w:jc w:val="both"/>
        <w:ind w:right="40" w:firstLine="560"/>
        <w:spacing w:after="0" w:line="309"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3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20"/>
          </w:cols>
          <w:pgMar w:left="320" w:top="518" w:right="45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40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91" w:lineRule="exact"/>
        <w:rPr>
          <w:sz w:val="20"/>
          <w:szCs w:val="20"/>
          <w:color w:val="auto"/>
        </w:rPr>
      </w:pPr>
    </w:p>
    <w:p>
      <w:pPr>
        <w:ind w:right="20" w:firstLine="560"/>
        <w:spacing w:after="0" w:line="249" w:lineRule="auto"/>
        <w:rPr>
          <w:sz w:val="20"/>
          <w:szCs w:val="20"/>
          <w:color w:val="auto"/>
        </w:rPr>
      </w:pPr>
      <w:r>
        <w:rPr>
          <w:rFonts w:ascii="Times New Roman" w:cs="Times New Roman" w:eastAsia="Times New Roman" w:hAnsi="Times New Roman"/>
          <w:sz w:val="16"/>
          <w:szCs w:val="16"/>
          <w:color w:val="auto"/>
        </w:rPr>
        <w:t>We incorporate by reference the information required by this item with respect to directors and the Audit Committee from the information under the caption “ELECTION OF DIRECTORS,” including in particular the information under “Nominating and Corporate, Governance and Review Committee” , “Audit Committee”, “Report of the Audit Committee &amp; the Board of Directors”, “Code of Ethics” and “Delinquent Section 16(a) Reports” and “EXECUTIVE OFFICERS” contained in our definitive Proxy Statement (the “Proxy Statement”), which we will file on or about April 28, 2026 with the Securities and Exchange Commission in connection with the solicitation of proxies for our 2026 Annual Meeting of Stockholders to be held on or about June 24, 2026.</w:t>
      </w:r>
    </w:p>
    <w:p>
      <w:pPr>
        <w:spacing w:after="0" w:line="37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91" w:lineRule="exact"/>
        <w:rPr>
          <w:sz w:val="20"/>
          <w:szCs w:val="20"/>
          <w:color w:val="auto"/>
        </w:rPr>
      </w:pPr>
    </w:p>
    <w:p>
      <w:pPr>
        <w:jc w:val="both"/>
        <w:ind w:right="120" w:firstLine="560"/>
        <w:spacing w:after="0" w:line="255"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to the information contained under the sections captioned “EXECUTIVE COMPENSATION”, “DIRECTOR COMPENSATION”, “Compensation Committee Interlocks and Insider Participation,” “Employment Arrangements” and “Compensation Committee Report” of the Proxy Statement.</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191" w:lineRule="exact"/>
        <w:rPr>
          <w:sz w:val="20"/>
          <w:szCs w:val="20"/>
          <w:color w:val="auto"/>
        </w:rPr>
      </w:pPr>
    </w:p>
    <w:p>
      <w:pPr>
        <w:ind w:firstLine="560"/>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will be set forth under the heading “Security Ownership of Certain Beneficial Owners and Management" in our Proxy Statement and is incorporated herein by reference.</w:t>
      </w:r>
    </w:p>
    <w:p>
      <w:pPr>
        <w:spacing w:after="0" w:line="151" w:lineRule="exact"/>
        <w:rPr>
          <w:sz w:val="20"/>
          <w:szCs w:val="20"/>
          <w:color w:val="auto"/>
        </w:rPr>
      </w:pPr>
    </w:p>
    <w:p>
      <w:pPr>
        <w:ind w:right="40" w:firstLine="560"/>
        <w:spacing w:after="0" w:line="267" w:lineRule="auto"/>
        <w:rPr>
          <w:sz w:val="20"/>
          <w:szCs w:val="20"/>
          <w:color w:val="auto"/>
        </w:rPr>
      </w:pPr>
      <w:r>
        <w:rPr>
          <w:rFonts w:ascii="Times New Roman" w:cs="Times New Roman" w:eastAsia="Times New Roman" w:hAnsi="Times New Roman"/>
          <w:sz w:val="16"/>
          <w:szCs w:val="16"/>
          <w:color w:val="auto"/>
        </w:rPr>
        <w:t>The information required by Item 201(d) of Regulation S-K will be set forth in the section headed “Equity Compensation Plan Information” in our Proxy Statement and is incorporated herein by reference.</w:t>
      </w:r>
    </w:p>
    <w:p>
      <w:pPr>
        <w:spacing w:after="0" w:line="14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91" w:lineRule="exact"/>
        <w:rPr>
          <w:sz w:val="20"/>
          <w:szCs w:val="20"/>
          <w:color w:val="auto"/>
        </w:rPr>
      </w:pPr>
    </w:p>
    <w:p>
      <w:pPr>
        <w:ind w:right="280" w:firstLine="560"/>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the section headed “Transactions with Related Persons” in our Proxy Statement and is incorporated herein by reference.</w:t>
      </w:r>
    </w:p>
    <w:p>
      <w:pPr>
        <w:spacing w:after="0" w:line="14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91" w:lineRule="exact"/>
        <w:rPr>
          <w:sz w:val="20"/>
          <w:szCs w:val="20"/>
          <w:color w:val="auto"/>
        </w:rPr>
      </w:pPr>
    </w:p>
    <w:p>
      <w:pPr>
        <w:ind w:right="200" w:firstLine="560"/>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the section headed “Ratification of Selection of Independent Registered Public Accounting Firm” in our Proxy Statement and is incorporated herein by reference.</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518" w:right="3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Index to Consolidated Financial Statements under Item 8 of Part II.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 Schedules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600" w:type="dxa"/>
            <w:vAlign w:val="bottom"/>
            <w:gridSpan w:val="14"/>
          </w:tcPr>
          <w:p>
            <w:pPr>
              <w:jc w:val="center"/>
              <w:ind w:right="3680"/>
              <w:spacing w:after="0"/>
              <w:rPr>
                <w:sz w:val="20"/>
                <w:szCs w:val="20"/>
                <w:color w:val="auto"/>
              </w:rPr>
            </w:pPr>
            <w:r>
              <w:rPr>
                <w:rFonts w:ascii="Times New Roman" w:cs="Times New Roman" w:eastAsia="Times New Roman" w:hAnsi="Times New Roman"/>
                <w:sz w:val="16"/>
                <w:szCs w:val="16"/>
                <w:b w:val="1"/>
                <w:bCs w:val="1"/>
                <w:color w:val="auto"/>
                <w:w w:val="96"/>
              </w:rPr>
              <w:t>EXHIBIT INDEX</w:t>
            </w:r>
          </w:p>
        </w:tc>
      </w:tr>
      <w:tr>
        <w:trPr>
          <w:trHeight w:val="356"/>
        </w:trPr>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120" w:type="dxa"/>
            <w:vAlign w:val="bottom"/>
          </w:tcPr>
          <w:p>
            <w:pPr>
              <w:spacing w:after="0"/>
              <w:rPr>
                <w:sz w:val="17"/>
                <w:szCs w:val="17"/>
                <w:color w:val="auto"/>
              </w:rPr>
            </w:pPr>
          </w:p>
        </w:tc>
        <w:tc>
          <w:tcPr>
            <w:tcW w:w="98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30"/>
        </w:trPr>
        <w:tc>
          <w:tcPr>
            <w:tcW w:w="580" w:type="dxa"/>
            <w:vAlign w:val="bottom"/>
          </w:tcPr>
          <w:p>
            <w:pPr>
              <w:spacing w:after="0"/>
              <w:rPr>
                <w:sz w:val="24"/>
                <w:szCs w:val="24"/>
                <w:color w:val="auto"/>
              </w:rPr>
            </w:pPr>
          </w:p>
        </w:tc>
        <w:tc>
          <w:tcPr>
            <w:tcW w:w="760" w:type="dxa"/>
            <w:vAlign w:val="bottom"/>
            <w:gridSpan w:val="3"/>
          </w:tcPr>
          <w:p>
            <w:pPr>
              <w:jc w:val="center"/>
              <w:ind w:right="540"/>
              <w:spacing w:after="0"/>
              <w:rPr>
                <w:rFonts w:ascii="Times New Roman" w:cs="Times New Roman" w:eastAsia="Times New Roman" w:hAnsi="Times New Roman"/>
                <w:sz w:val="16"/>
                <w:szCs w:val="16"/>
                <w:color w:val="0000EE"/>
                <w:w w:val="78"/>
              </w:rPr>
            </w:pPr>
            <w:hyperlink r:id="rId72">
              <w:r>
                <w:rPr>
                  <w:rFonts w:ascii="Times New Roman" w:cs="Times New Roman" w:eastAsia="Times New Roman" w:hAnsi="Times New Roman"/>
                  <w:sz w:val="16"/>
                  <w:szCs w:val="16"/>
                  <w:color w:val="0000EE"/>
                  <w:w w:val="78"/>
                </w:rPr>
                <w:t>2.</w:t>
              </w:r>
              <w:r>
                <w:rPr>
                  <w:rFonts w:ascii="Times New Roman" w:cs="Times New Roman" w:eastAsia="Times New Roman" w:hAnsi="Times New Roman"/>
                  <w:sz w:val="16"/>
                  <w:szCs w:val="16"/>
                  <w:u w:val="single" w:color="auto"/>
                  <w:color w:val="0000EE"/>
                  <w:w w:val="78"/>
                </w:rPr>
                <w:t>1†</w:t>
              </w:r>
            </w:hyperlink>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w w:val="97"/>
              </w:rPr>
            </w:pPr>
            <w:hyperlink r:id="rId72">
              <w:r>
                <w:rPr>
                  <w:rFonts w:ascii="Times New Roman" w:cs="Times New Roman" w:eastAsia="Times New Roman" w:hAnsi="Times New Roman"/>
                  <w:sz w:val="16"/>
                  <w:szCs w:val="16"/>
                  <w:color w:val="0000EE"/>
                  <w:w w:val="97"/>
                </w:rPr>
                <w:t>Asset Purchase Agreement, dated as of December 7, 2019, between XBiotech Inc. and Janssen Biotech, Inc. (incorporated by reference to Exhibit 2.1 to the</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gridSpan w:val="17"/>
          </w:tcPr>
          <w:p>
            <w:pPr>
              <w:spacing w:after="0" w:line="167" w:lineRule="exact"/>
              <w:rPr>
                <w:rFonts w:ascii="Times New Roman" w:cs="Times New Roman" w:eastAsia="Times New Roman" w:hAnsi="Times New Roman"/>
                <w:sz w:val="16"/>
                <w:szCs w:val="16"/>
                <w:color w:val="0000EE"/>
              </w:rPr>
            </w:pPr>
            <w:hyperlink r:id="rId72">
              <w:r>
                <w:rPr>
                  <w:rFonts w:ascii="Times New Roman" w:cs="Times New Roman" w:eastAsia="Times New Roman" w:hAnsi="Times New Roman"/>
                  <w:sz w:val="16"/>
                  <w:szCs w:val="16"/>
                  <w:color w:val="0000EE"/>
                </w:rPr>
                <w:t>Company’s Current Report on Form 8-K filed on December 30, 2019)</w:t>
              </w:r>
            </w:hyperlink>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760" w:type="dxa"/>
            <w:vAlign w:val="bottom"/>
            <w:gridSpan w:val="2"/>
          </w:tcPr>
          <w:p>
            <w:pPr>
              <w:jc w:val="center"/>
              <w:ind w:left="502"/>
              <w:spacing w:after="0"/>
              <w:rPr>
                <w:rFonts w:ascii="Times New Roman" w:cs="Times New Roman" w:eastAsia="Times New Roman" w:hAnsi="Times New Roman"/>
                <w:sz w:val="16"/>
                <w:szCs w:val="16"/>
                <w:color w:val="0000EE"/>
                <w:w w:val="89"/>
              </w:rPr>
            </w:pPr>
            <w:hyperlink r:id="rId73">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rPr>
            </w:pPr>
            <w:hyperlink r:id="rId73">
              <w:r>
                <w:rPr>
                  <w:rFonts w:ascii="Times New Roman" w:cs="Times New Roman" w:eastAsia="Times New Roman" w:hAnsi="Times New Roman"/>
                  <w:sz w:val="16"/>
                  <w:szCs w:val="16"/>
                  <w:color w:val="0000EE"/>
                </w:rPr>
                <w:t>Certificate of Continuation dated September 23, 2005, issued by the Registrar of Companies, Province of British Columbia, Canada (incorporated by</w:t>
              </w:r>
            </w:hyperlink>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4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0000EE"/>
                <w:w w:val="96"/>
              </w:rPr>
            </w:pPr>
            <w:hyperlink r:id="rId73">
              <w:r>
                <w:rPr>
                  <w:rFonts w:ascii="Times New Roman" w:cs="Times New Roman" w:eastAsia="Times New Roman" w:hAnsi="Times New Roman"/>
                  <w:sz w:val="16"/>
                  <w:szCs w:val="16"/>
                  <w:color w:val="0000EE"/>
                  <w:w w:val="96"/>
                </w:rPr>
                <w:t>reference to Exhibit 3.1 to the Company’s Registration Statement on Form S-1 filed with the SEC on February 2, 2015)</w:t>
              </w:r>
            </w:hyperlink>
          </w:p>
        </w:tc>
        <w:tc>
          <w:tcPr>
            <w:tcW w:w="2360" w:type="dxa"/>
            <w:vAlign w:val="bottom"/>
            <w:gridSpan w:val="7"/>
          </w:tcPr>
          <w:p>
            <w:pPr>
              <w:spacing w:after="0"/>
              <w:rPr>
                <w:sz w:val="14"/>
                <w:szCs w:val="14"/>
                <w:color w:val="auto"/>
              </w:rPr>
            </w:pPr>
          </w:p>
        </w:tc>
      </w:tr>
      <w:tr>
        <w:trPr>
          <w:trHeight w:val="353"/>
        </w:trPr>
        <w:tc>
          <w:tcPr>
            <w:tcW w:w="760" w:type="dxa"/>
            <w:vAlign w:val="bottom"/>
            <w:gridSpan w:val="2"/>
          </w:tcPr>
          <w:p>
            <w:pPr>
              <w:jc w:val="center"/>
              <w:ind w:left="502"/>
              <w:spacing w:after="0"/>
              <w:rPr>
                <w:rFonts w:ascii="Times New Roman" w:cs="Times New Roman" w:eastAsia="Times New Roman" w:hAnsi="Times New Roman"/>
                <w:sz w:val="16"/>
                <w:szCs w:val="16"/>
                <w:color w:val="0000EE"/>
                <w:w w:val="89"/>
              </w:rPr>
            </w:pPr>
            <w:hyperlink r:id="rId74">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rPr>
            </w:pPr>
            <w:hyperlink r:id="rId74">
              <w:r>
                <w:rPr>
                  <w:rFonts w:ascii="Times New Roman" w:cs="Times New Roman" w:eastAsia="Times New Roman" w:hAnsi="Times New Roman"/>
                  <w:sz w:val="16"/>
                  <w:szCs w:val="16"/>
                  <w:color w:val="0000EE"/>
                </w:rPr>
                <w:t>Notice of Articles, dated December 8, 2005, issued by the Registrar of Companies, Province of British Columbia, Canada (incorporated by reference to</w:t>
              </w:r>
            </w:hyperlink>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60" w:type="dxa"/>
            <w:vAlign w:val="bottom"/>
            <w:tcBorders>
              <w:bottom w:val="single" w:sz="8" w:color="0000EE"/>
            </w:tcBorders>
            <w:gridSpan w:val="7"/>
          </w:tcPr>
          <w:p>
            <w:pPr>
              <w:spacing w:after="0" w:line="167" w:lineRule="exact"/>
              <w:rPr>
                <w:rFonts w:ascii="Times New Roman" w:cs="Times New Roman" w:eastAsia="Times New Roman" w:hAnsi="Times New Roman"/>
                <w:sz w:val="16"/>
                <w:szCs w:val="16"/>
                <w:color w:val="0000EE"/>
                <w:w w:val="96"/>
              </w:rPr>
            </w:pPr>
            <w:hyperlink r:id="rId74">
              <w:r>
                <w:rPr>
                  <w:rFonts w:ascii="Times New Roman" w:cs="Times New Roman" w:eastAsia="Times New Roman" w:hAnsi="Times New Roman"/>
                  <w:sz w:val="16"/>
                  <w:szCs w:val="16"/>
                  <w:color w:val="0000EE"/>
                  <w:w w:val="96"/>
                </w:rPr>
                <w:t>Exhibit 3.2 to the Company’s Registration Statement on Form S-1 filed with the SEC on February 2, 2015)</w:t>
              </w:r>
            </w:hyperlink>
          </w:p>
        </w:tc>
        <w:tc>
          <w:tcPr>
            <w:tcW w:w="3140" w:type="dxa"/>
            <w:vAlign w:val="bottom"/>
            <w:gridSpan w:val="10"/>
          </w:tcPr>
          <w:p>
            <w:pPr>
              <w:spacing w:after="0"/>
              <w:rPr>
                <w:sz w:val="14"/>
                <w:szCs w:val="14"/>
                <w:color w:val="auto"/>
              </w:rPr>
            </w:pPr>
          </w:p>
        </w:tc>
      </w:tr>
      <w:tr>
        <w:trPr>
          <w:trHeight w:val="353"/>
        </w:trPr>
        <w:tc>
          <w:tcPr>
            <w:tcW w:w="760" w:type="dxa"/>
            <w:vAlign w:val="bottom"/>
            <w:gridSpan w:val="2"/>
          </w:tcPr>
          <w:p>
            <w:pPr>
              <w:jc w:val="center"/>
              <w:ind w:left="502"/>
              <w:spacing w:after="0"/>
              <w:rPr>
                <w:rFonts w:ascii="Times New Roman" w:cs="Times New Roman" w:eastAsia="Times New Roman" w:hAnsi="Times New Roman"/>
                <w:sz w:val="16"/>
                <w:szCs w:val="16"/>
                <w:color w:val="0000EE"/>
                <w:w w:val="89"/>
              </w:rPr>
            </w:pPr>
            <w:hyperlink r:id="rId75">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w w:val="96"/>
              </w:rPr>
            </w:pPr>
            <w:hyperlink r:id="rId75">
              <w:r>
                <w:rPr>
                  <w:rFonts w:ascii="Times New Roman" w:cs="Times New Roman" w:eastAsia="Times New Roman" w:hAnsi="Times New Roman"/>
                  <w:sz w:val="16"/>
                  <w:szCs w:val="16"/>
                  <w:color w:val="0000EE"/>
                  <w:w w:val="96"/>
                </w:rPr>
                <w:t>Articles of XBiotech Inc. (incorporated by reference to Exhibit 3.3 to the Company’s Registration Statement on Form S-1/A filed with the SEC on March 27,</w:t>
              </w:r>
            </w:hyperlink>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gridSpan w:val="3"/>
          </w:tcPr>
          <w:p>
            <w:pPr>
              <w:ind w:left="120"/>
              <w:spacing w:after="0" w:line="167" w:lineRule="exact"/>
              <w:rPr>
                <w:rFonts w:ascii="Times New Roman" w:cs="Times New Roman" w:eastAsia="Times New Roman" w:hAnsi="Times New Roman"/>
                <w:sz w:val="16"/>
                <w:szCs w:val="16"/>
                <w:color w:val="0000EE"/>
                <w:w w:val="90"/>
              </w:rPr>
            </w:pPr>
            <w:hyperlink r:id="rId75">
              <w:r>
                <w:rPr>
                  <w:rFonts w:ascii="Times New Roman" w:cs="Times New Roman" w:eastAsia="Times New Roman" w:hAnsi="Times New Roman"/>
                  <w:sz w:val="16"/>
                  <w:szCs w:val="16"/>
                  <w:color w:val="0000EE"/>
                  <w:w w:val="90"/>
                </w:rPr>
                <w:t>2015)</w:t>
              </w:r>
            </w:hyperlink>
          </w:p>
        </w:tc>
        <w:tc>
          <w:tcPr>
            <w:tcW w:w="1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760" w:type="dxa"/>
            <w:vAlign w:val="bottom"/>
            <w:gridSpan w:val="2"/>
          </w:tcPr>
          <w:p>
            <w:pPr>
              <w:jc w:val="center"/>
              <w:ind w:left="422"/>
              <w:spacing w:after="0"/>
              <w:rPr>
                <w:sz w:val="20"/>
                <w:szCs w:val="20"/>
                <w:color w:val="auto"/>
              </w:rPr>
            </w:pPr>
            <w:r>
              <w:rPr>
                <w:rFonts w:ascii="Times New Roman" w:cs="Times New Roman" w:eastAsia="Times New Roman" w:hAnsi="Times New Roman"/>
                <w:sz w:val="16"/>
                <w:szCs w:val="16"/>
                <w:color w:val="0000EE"/>
                <w:w w:val="92"/>
              </w:rPr>
              <w:t>4.</w:t>
            </w:r>
            <w:r>
              <w:rPr>
                <w:rFonts w:ascii="Times New Roman" w:cs="Times New Roman" w:eastAsia="Times New Roman" w:hAnsi="Times New Roman"/>
                <w:sz w:val="16"/>
                <w:szCs w:val="16"/>
                <w:u w:val="single" w:color="auto"/>
                <w:color w:val="0000EE"/>
                <w:w w:val="92"/>
              </w:rPr>
              <w:t>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Description of Registrant’s securities registered pursuant to Section 12 of the Securities Exchange Act of 1934</w:t>
            </w: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1340" w:type="dxa"/>
            <w:vAlign w:val="bottom"/>
            <w:gridSpan w:val="4"/>
          </w:tcPr>
          <w:p>
            <w:pPr>
              <w:jc w:val="center"/>
              <w:spacing w:after="0"/>
              <w:rPr>
                <w:rFonts w:ascii="Times New Roman" w:cs="Times New Roman" w:eastAsia="Times New Roman" w:hAnsi="Times New Roman"/>
                <w:sz w:val="16"/>
                <w:szCs w:val="16"/>
                <w:color w:val="0000EE"/>
                <w:w w:val="97"/>
              </w:rPr>
            </w:pPr>
            <w:hyperlink r:id="rId76">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1+</w:t>
              </w:r>
            </w:hyperlink>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Executive Employment Agreement dated as of October 22, 2025 between XBiotech and John Simard (incorporated by reference to Exhibit 10.1 to the</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gridSpan w:val="17"/>
          </w:tcPr>
          <w:p>
            <w:pPr>
              <w:spacing w:after="0" w:line="167"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Company’s Current Report on Form 8-K filed with the SEC on October 3, 2025)</w:t>
              </w:r>
            </w:hyperlink>
          </w:p>
        </w:tc>
      </w:tr>
      <w:tr>
        <w:trPr>
          <w:trHeight w:val="20"/>
        </w:trPr>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1340" w:type="dxa"/>
            <w:vAlign w:val="bottom"/>
            <w:gridSpan w:val="4"/>
          </w:tcPr>
          <w:p>
            <w:pPr>
              <w:jc w:val="center"/>
              <w:spacing w:after="0"/>
              <w:rPr>
                <w:rFonts w:ascii="Times New Roman" w:cs="Times New Roman" w:eastAsia="Times New Roman" w:hAnsi="Times New Roman"/>
                <w:sz w:val="16"/>
                <w:szCs w:val="16"/>
                <w:color w:val="0000EE"/>
                <w:w w:val="97"/>
              </w:rPr>
            </w:pPr>
            <w:hyperlink r:id="rId77">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2+</w:t>
              </w:r>
            </w:hyperlink>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w w:val="98"/>
              </w:rPr>
            </w:pPr>
            <w:hyperlink r:id="rId77">
              <w:r>
                <w:rPr>
                  <w:rFonts w:ascii="Times New Roman" w:cs="Times New Roman" w:eastAsia="Times New Roman" w:hAnsi="Times New Roman"/>
                  <w:sz w:val="16"/>
                  <w:szCs w:val="16"/>
                  <w:color w:val="0000EE"/>
                  <w:w w:val="98"/>
                </w:rPr>
                <w:t>Change in Control Agreement dated as of March 22, 2005 between XBiotech and John Simard (incorporated by reference to Exhibit 10.2 to the Company’s</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gridSpan w:val="17"/>
          </w:tcPr>
          <w:p>
            <w:pPr>
              <w:spacing w:after="0" w:line="167"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Registration Statement on Form S-1 filed with the SEC on February 2, 2015)</w:t>
              </w:r>
            </w:hyperlink>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760" w:type="dxa"/>
            <w:vAlign w:val="bottom"/>
            <w:gridSpan w:val="2"/>
          </w:tcPr>
          <w:p>
            <w:pPr>
              <w:jc w:val="center"/>
              <w:ind w:left="422"/>
              <w:spacing w:after="0"/>
              <w:rPr>
                <w:rFonts w:ascii="Times New Roman" w:cs="Times New Roman" w:eastAsia="Times New Roman" w:hAnsi="Times New Roman"/>
                <w:sz w:val="16"/>
                <w:szCs w:val="16"/>
                <w:color w:val="0000EE"/>
                <w:w w:val="92"/>
              </w:rPr>
            </w:pPr>
            <w:hyperlink r:id="rId78">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Confidentiality and Assignment of Inventions Agreement dated as of March 22, 2005 between XBiotech and John Simard (incorporated by reference to</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4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0000EE"/>
                <w:w w:val="96"/>
              </w:rPr>
            </w:pPr>
            <w:hyperlink r:id="rId78">
              <w:r>
                <w:rPr>
                  <w:rFonts w:ascii="Times New Roman" w:cs="Times New Roman" w:eastAsia="Times New Roman" w:hAnsi="Times New Roman"/>
                  <w:sz w:val="16"/>
                  <w:szCs w:val="16"/>
                  <w:color w:val="0000EE"/>
                  <w:w w:val="96"/>
                </w:rPr>
                <w:t>Exhibit 10.3 to the Company’s Registration Statement on Form S-1 filed with the SEC on February 2, 2015)</w:t>
              </w:r>
            </w:hyperlink>
          </w:p>
        </w:tc>
        <w:tc>
          <w:tcPr>
            <w:tcW w:w="3060" w:type="dxa"/>
            <w:vAlign w:val="bottom"/>
            <w:gridSpan w:val="9"/>
          </w:tcPr>
          <w:p>
            <w:pPr>
              <w:spacing w:after="0"/>
              <w:rPr>
                <w:sz w:val="14"/>
                <w:szCs w:val="14"/>
                <w:color w:val="auto"/>
              </w:rPr>
            </w:pPr>
          </w:p>
        </w:tc>
      </w:tr>
      <w:tr>
        <w:trPr>
          <w:trHeight w:val="353"/>
        </w:trPr>
        <w:tc>
          <w:tcPr>
            <w:tcW w:w="1340" w:type="dxa"/>
            <w:vAlign w:val="bottom"/>
            <w:gridSpan w:val="4"/>
          </w:tcPr>
          <w:p>
            <w:pPr>
              <w:jc w:val="center"/>
              <w:spacing w:after="0"/>
              <w:rPr>
                <w:rFonts w:ascii="Times New Roman" w:cs="Times New Roman" w:eastAsia="Times New Roman" w:hAnsi="Times New Roman"/>
                <w:sz w:val="16"/>
                <w:szCs w:val="16"/>
                <w:color w:val="0000EE"/>
                <w:w w:val="97"/>
              </w:rPr>
            </w:pPr>
            <w:hyperlink r:id="rId79">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4+</w:t>
              </w:r>
            </w:hyperlink>
          </w:p>
        </w:tc>
        <w:tc>
          <w:tcPr>
            <w:tcW w:w="120" w:type="dxa"/>
            <w:vAlign w:val="bottom"/>
          </w:tcPr>
          <w:p>
            <w:pPr>
              <w:spacing w:after="0"/>
              <w:rPr>
                <w:sz w:val="24"/>
                <w:szCs w:val="24"/>
                <w:color w:val="auto"/>
              </w:rPr>
            </w:pPr>
          </w:p>
        </w:tc>
        <w:tc>
          <w:tcPr>
            <w:tcW w:w="9800" w:type="dxa"/>
            <w:vAlign w:val="bottom"/>
            <w:gridSpan w:val="17"/>
          </w:tcPr>
          <w:p>
            <w:pPr>
              <w:spacing w:after="0"/>
              <w:rPr>
                <w:rFonts w:ascii="Times New Roman" w:cs="Times New Roman" w:eastAsia="Times New Roman" w:hAnsi="Times New Roman"/>
                <w:sz w:val="16"/>
                <w:szCs w:val="16"/>
                <w:color w:val="0000EE"/>
                <w:w w:val="97"/>
              </w:rPr>
            </w:pPr>
            <w:hyperlink r:id="rId79">
              <w:r>
                <w:rPr>
                  <w:rFonts w:ascii="Times New Roman" w:cs="Times New Roman" w:eastAsia="Times New Roman" w:hAnsi="Times New Roman"/>
                  <w:sz w:val="16"/>
                  <w:szCs w:val="16"/>
                  <w:color w:val="0000EE"/>
                  <w:w w:val="97"/>
                </w:rPr>
                <w:t>XBiotech 2005 Incentive Stock Option Plan (Restated) (incorporated by reference to Exhibit 4.4 to the Company’s Registration Statement on Form S-8 filed</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540" w:type="dxa"/>
            <w:vAlign w:val="bottom"/>
            <w:gridSpan w:val="1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gridSpan w:val="17"/>
          </w:tcPr>
          <w:p>
            <w:pPr>
              <w:spacing w:after="0" w:line="167"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with the SEC on October 19, 2015)</w:t>
              </w:r>
            </w:hyperlink>
          </w:p>
        </w:tc>
      </w:tr>
      <w:tr>
        <w:trPr>
          <w:trHeight w:val="388"/>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180" w:type="dxa"/>
            <w:vAlign w:val="bottom"/>
            <w:tcBorders>
              <w:top w:val="single" w:sz="8" w:color="0000EE"/>
            </w:tcBorders>
            <w:gridSpan w:val="2"/>
          </w:tcPr>
          <w:p>
            <w:pPr>
              <w:spacing w:after="0"/>
              <w:rPr>
                <w:sz w:val="24"/>
                <w:szCs w:val="24"/>
                <w:color w:val="auto"/>
              </w:rPr>
            </w:pP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7"/>
        </w:trPr>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18" w:right="3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gridSpan w:val="7"/>
          </w:tcPr>
          <w:p>
            <w:pPr>
              <w:jc w:val="center"/>
              <w:ind w:left="402"/>
              <w:spacing w:after="0"/>
              <w:rPr>
                <w:rFonts w:ascii="Times New Roman" w:cs="Times New Roman" w:eastAsia="Times New Roman" w:hAnsi="Times New Roman"/>
                <w:sz w:val="16"/>
                <w:szCs w:val="16"/>
                <w:color w:val="0000EE"/>
                <w:w w:val="97"/>
              </w:rPr>
            </w:pPr>
            <w:hyperlink r:id="rId80">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5+</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0" w:type="dxa"/>
            <w:vAlign w:val="bottom"/>
            <w:gridSpan w:val="24"/>
          </w:tcPr>
          <w:p>
            <w:pPr>
              <w:spacing w:after="0"/>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Form of indemnification agreement between XBiotech and each director of XBiotech (incorporated by reference to Exhibit 10.5 to the Company’s</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20" w:type="dxa"/>
            <w:vAlign w:val="bottom"/>
            <w:tcBorders>
              <w:top w:val="single" w:sz="8" w:color="0000EE"/>
            </w:tcBorders>
            <w:gridSpan w:val="14"/>
          </w:tcPr>
          <w:p>
            <w:pPr>
              <w:spacing w:after="0" w:line="167"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Registration Statement on Form S-1 filed with the SEC on February 2, 2015)</w:t>
              </w:r>
            </w:hyperlink>
          </w:p>
        </w:tc>
        <w:tc>
          <w:tcPr>
            <w:tcW w:w="680" w:type="dxa"/>
            <w:vAlign w:val="bottom"/>
            <w:gridSpan w:val="10"/>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3"/>
        </w:trPr>
        <w:tc>
          <w:tcPr>
            <w:tcW w:w="840" w:type="dxa"/>
            <w:vAlign w:val="bottom"/>
            <w:gridSpan w:val="6"/>
          </w:tcPr>
          <w:p>
            <w:pPr>
              <w:jc w:val="center"/>
              <w:ind w:left="422"/>
              <w:spacing w:after="0"/>
              <w:rPr>
                <w:rFonts w:ascii="Times New Roman" w:cs="Times New Roman" w:eastAsia="Times New Roman" w:hAnsi="Times New Roman"/>
                <w:sz w:val="16"/>
                <w:szCs w:val="16"/>
                <w:color w:val="0000EE"/>
                <w:w w:val="92"/>
              </w:rPr>
            </w:pPr>
            <w:hyperlink r:id="rId81">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6</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9"/>
              </w:rPr>
            </w:pPr>
            <w:hyperlink r:id="rId81">
              <w:r>
                <w:rPr>
                  <w:rFonts w:ascii="Times New Roman" w:cs="Times New Roman" w:eastAsia="Times New Roman" w:hAnsi="Times New Roman"/>
                  <w:sz w:val="16"/>
                  <w:szCs w:val="16"/>
                  <w:color w:val="0000EE"/>
                  <w:w w:val="99"/>
                </w:rPr>
                <w:t>Licensing Agreement dated January 16, 2015 between XBiotech USA, Inc. and Lonza Sales AG (portions of this exhibit have been omitted pursuant to a</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0" w:type="dxa"/>
            <w:vAlign w:val="bottom"/>
            <w:gridSpan w:val="24"/>
          </w:tcPr>
          <w:p>
            <w:pPr>
              <w:spacing w:after="0" w:line="167" w:lineRule="exact"/>
              <w:rPr>
                <w:rFonts w:ascii="Times New Roman" w:cs="Times New Roman" w:eastAsia="Times New Roman" w:hAnsi="Times New Roman"/>
                <w:sz w:val="16"/>
                <w:szCs w:val="16"/>
                <w:color w:val="0000EE"/>
                <w:w w:val="98"/>
              </w:rPr>
            </w:pPr>
            <w:hyperlink r:id="rId81">
              <w:r>
                <w:rPr>
                  <w:rFonts w:ascii="Times New Roman" w:cs="Times New Roman" w:eastAsia="Times New Roman" w:hAnsi="Times New Roman"/>
                  <w:sz w:val="16"/>
                  <w:szCs w:val="16"/>
                  <w:color w:val="0000EE"/>
                  <w:w w:val="98"/>
                </w:rPr>
                <w:t>request for confidential treatment under Rule 406 of the Securities Act. incorporated by reference to Exhibit 10.9 to the Company’s Registration Statement</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20" w:type="dxa"/>
            <w:vAlign w:val="bottom"/>
            <w:tcBorders>
              <w:top w:val="single" w:sz="8" w:color="0000EE"/>
            </w:tcBorders>
            <w:gridSpan w:val="18"/>
          </w:tcPr>
          <w:p>
            <w:pPr>
              <w:spacing w:after="0" w:line="167"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on Form S-1/A filed with the SEC on March 10, 2015)</w:t>
              </w:r>
            </w:hyperlink>
          </w:p>
        </w:tc>
        <w:tc>
          <w:tcPr>
            <w:tcW w:w="180" w:type="dxa"/>
            <w:vAlign w:val="bottom"/>
            <w:gridSpan w:val="6"/>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3"/>
        </w:trPr>
        <w:tc>
          <w:tcPr>
            <w:tcW w:w="840" w:type="dxa"/>
            <w:vAlign w:val="bottom"/>
            <w:gridSpan w:val="6"/>
          </w:tcPr>
          <w:p>
            <w:pPr>
              <w:jc w:val="center"/>
              <w:ind w:left="422"/>
              <w:spacing w:after="0"/>
              <w:rPr>
                <w:rFonts w:ascii="Times New Roman" w:cs="Times New Roman" w:eastAsia="Times New Roman" w:hAnsi="Times New Roman"/>
                <w:sz w:val="16"/>
                <w:szCs w:val="16"/>
                <w:color w:val="0000EE"/>
                <w:w w:val="92"/>
              </w:rPr>
            </w:pPr>
            <w:hyperlink r:id="rId82">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7"/>
              </w:rPr>
            </w:pPr>
            <w:hyperlink r:id="rId82">
              <w:r>
                <w:rPr>
                  <w:rFonts w:ascii="Times New Roman" w:cs="Times New Roman" w:eastAsia="Times New Roman" w:hAnsi="Times New Roman"/>
                  <w:sz w:val="16"/>
                  <w:szCs w:val="16"/>
                  <w:color w:val="0000EE"/>
                  <w:w w:val="97"/>
                </w:rPr>
                <w:t>Research and Collaboration Agreement dated December 15, 2014 by and between XBiotech USA, Inc. and the South Texas Blood &amp; Tissue Center (portions</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60" w:type="dxa"/>
            <w:vAlign w:val="bottom"/>
            <w:tcBorders>
              <w:top w:val="single" w:sz="8" w:color="0000EE"/>
              <w:bottom w:val="single" w:sz="8" w:color="0000EE"/>
            </w:tcBorders>
            <w:gridSpan w:val="20"/>
          </w:tcPr>
          <w:p>
            <w:pPr>
              <w:spacing w:after="0" w:line="167" w:lineRule="exact"/>
              <w:rPr>
                <w:rFonts w:ascii="Times New Roman" w:cs="Times New Roman" w:eastAsia="Times New Roman" w:hAnsi="Times New Roman"/>
                <w:sz w:val="16"/>
                <w:szCs w:val="16"/>
                <w:color w:val="0000EE"/>
                <w:w w:val="96"/>
              </w:rPr>
            </w:pPr>
            <w:hyperlink r:id="rId82">
              <w:r>
                <w:rPr>
                  <w:rFonts w:ascii="Times New Roman" w:cs="Times New Roman" w:eastAsia="Times New Roman" w:hAnsi="Times New Roman"/>
                  <w:sz w:val="16"/>
                  <w:szCs w:val="16"/>
                  <w:color w:val="0000EE"/>
                  <w:w w:val="96"/>
                </w:rPr>
                <w:t>of this exhibit have been omitted pursuant to a request for confidential treatment under Rule 406 of the Securities Act of 1933. incorporated by reference to</w:t>
              </w:r>
            </w:hyperlink>
          </w:p>
        </w:tc>
        <w:tc>
          <w:tcPr>
            <w:tcW w:w="100" w:type="dxa"/>
            <w:vAlign w:val="bottom"/>
            <w:tcBorders>
              <w:top w:val="single" w:sz="8" w:color="0000EE"/>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900" w:type="dxa"/>
            <w:vAlign w:val="bottom"/>
            <w:tcBorders>
              <w:bottom w:val="single" w:sz="8" w:color="0000EE"/>
            </w:tcBorders>
            <w:gridSpan w:val="13"/>
          </w:tcPr>
          <w:p>
            <w:pPr>
              <w:spacing w:after="0" w:line="167" w:lineRule="exact"/>
              <w:rPr>
                <w:rFonts w:ascii="Times New Roman" w:cs="Times New Roman" w:eastAsia="Times New Roman" w:hAnsi="Times New Roman"/>
                <w:sz w:val="16"/>
                <w:szCs w:val="16"/>
                <w:color w:val="0000EE"/>
                <w:w w:val="96"/>
              </w:rPr>
            </w:pPr>
            <w:hyperlink r:id="rId82">
              <w:r>
                <w:rPr>
                  <w:rFonts w:ascii="Times New Roman" w:cs="Times New Roman" w:eastAsia="Times New Roman" w:hAnsi="Times New Roman"/>
                  <w:sz w:val="16"/>
                  <w:szCs w:val="16"/>
                  <w:color w:val="0000EE"/>
                  <w:w w:val="96"/>
                </w:rPr>
                <w:t>Exhibit 10.10 to the Company’s Registration Statement on Form S-1/A filed with the SEC on March 10, 2015)</w:t>
              </w:r>
            </w:hyperlink>
          </w:p>
        </w:tc>
        <w:tc>
          <w:tcPr>
            <w:tcW w:w="2900" w:type="dxa"/>
            <w:vAlign w:val="bottom"/>
            <w:gridSpan w:val="11"/>
          </w:tcPr>
          <w:p>
            <w:pPr>
              <w:spacing w:after="0"/>
              <w:rPr>
                <w:sz w:val="14"/>
                <w:szCs w:val="14"/>
                <w:color w:val="auto"/>
              </w:rPr>
            </w:pPr>
          </w:p>
        </w:tc>
      </w:tr>
      <w:tr>
        <w:trPr>
          <w:trHeight w:val="353"/>
        </w:trPr>
        <w:tc>
          <w:tcPr>
            <w:tcW w:w="880" w:type="dxa"/>
            <w:vAlign w:val="bottom"/>
            <w:gridSpan w:val="7"/>
          </w:tcPr>
          <w:p>
            <w:pPr>
              <w:jc w:val="center"/>
              <w:ind w:left="402"/>
              <w:spacing w:after="0"/>
              <w:rPr>
                <w:rFonts w:ascii="Times New Roman" w:cs="Times New Roman" w:eastAsia="Times New Roman" w:hAnsi="Times New Roman"/>
                <w:sz w:val="16"/>
                <w:szCs w:val="16"/>
                <w:color w:val="0000EE"/>
                <w:w w:val="97"/>
              </w:rPr>
            </w:pPr>
            <w:hyperlink r:id="rId83">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8+</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7"/>
              </w:rPr>
            </w:pPr>
            <w:hyperlink r:id="rId83">
              <w:r>
                <w:rPr>
                  <w:rFonts w:ascii="Times New Roman" w:cs="Times New Roman" w:eastAsia="Times New Roman" w:hAnsi="Times New Roman"/>
                  <w:sz w:val="16"/>
                  <w:szCs w:val="16"/>
                  <w:color w:val="0000EE"/>
                  <w:w w:val="97"/>
                </w:rPr>
                <w:t>XBiotech Inc. 2015 Equity Incentive Plan (incorporated by reference to Exhibit 10.11 to the Company’s Registration Statement on Form S-1/A filed with the</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Borders>
              <w:top w:val="single" w:sz="8" w:color="0000EE"/>
              <w:bottom w:val="single" w:sz="8" w:color="0000EE"/>
            </w:tcBorders>
            <w:gridSpan w:val="2"/>
          </w:tcPr>
          <w:p>
            <w:pPr>
              <w:spacing w:after="0" w:line="167" w:lineRule="exact"/>
              <w:rPr>
                <w:rFonts w:ascii="Times New Roman" w:cs="Times New Roman" w:eastAsia="Times New Roman" w:hAnsi="Times New Roman"/>
                <w:sz w:val="16"/>
                <w:szCs w:val="16"/>
                <w:color w:val="0000EE"/>
                <w:w w:val="95"/>
              </w:rPr>
            </w:pPr>
            <w:hyperlink r:id="rId83">
              <w:r>
                <w:rPr>
                  <w:rFonts w:ascii="Times New Roman" w:cs="Times New Roman" w:eastAsia="Times New Roman" w:hAnsi="Times New Roman"/>
                  <w:sz w:val="16"/>
                  <w:szCs w:val="16"/>
                  <w:color w:val="0000EE"/>
                  <w:w w:val="95"/>
                </w:rPr>
                <w:t>SEC on March 10, 2015)</w:t>
              </w:r>
            </w:hyperlink>
          </w:p>
        </w:tc>
        <w:tc>
          <w:tcPr>
            <w:tcW w:w="822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r>
      <w:tr>
        <w:trPr>
          <w:trHeight w:val="353"/>
        </w:trPr>
        <w:tc>
          <w:tcPr>
            <w:tcW w:w="880" w:type="dxa"/>
            <w:vAlign w:val="bottom"/>
            <w:gridSpan w:val="7"/>
          </w:tcPr>
          <w:p>
            <w:pPr>
              <w:jc w:val="center"/>
              <w:ind w:left="402"/>
              <w:spacing w:after="0"/>
              <w:rPr>
                <w:rFonts w:ascii="Times New Roman" w:cs="Times New Roman" w:eastAsia="Times New Roman" w:hAnsi="Times New Roman"/>
                <w:sz w:val="16"/>
                <w:szCs w:val="16"/>
                <w:color w:val="0000EE"/>
                <w:w w:val="97"/>
              </w:rPr>
            </w:pPr>
            <w:hyperlink r:id="rId84">
              <w:r>
                <w:rPr>
                  <w:rFonts w:ascii="Times New Roman" w:cs="Times New Roman" w:eastAsia="Times New Roman" w:hAnsi="Times New Roman"/>
                  <w:sz w:val="16"/>
                  <w:szCs w:val="16"/>
                  <w:color w:val="0000EE"/>
                  <w:w w:val="97"/>
                </w:rPr>
                <w:t>10.</w:t>
              </w:r>
              <w:r>
                <w:rPr>
                  <w:rFonts w:ascii="Times New Roman" w:cs="Times New Roman" w:eastAsia="Times New Roman" w:hAnsi="Times New Roman"/>
                  <w:sz w:val="16"/>
                  <w:szCs w:val="16"/>
                  <w:u w:val="single" w:color="auto"/>
                  <w:color w:val="0000EE"/>
                  <w:w w:val="97"/>
                </w:rPr>
                <w:t>9+</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8"/>
              </w:rPr>
            </w:pPr>
            <w:hyperlink r:id="rId84">
              <w:r>
                <w:rPr>
                  <w:rFonts w:ascii="Times New Roman" w:cs="Times New Roman" w:eastAsia="Times New Roman" w:hAnsi="Times New Roman"/>
                  <w:sz w:val="16"/>
                  <w:szCs w:val="16"/>
                  <w:color w:val="0000EE"/>
                  <w:w w:val="98"/>
                </w:rPr>
                <w:t>Form of Incentive Share Option Agreement under the 2015 Equity Incentive Plan (incorporated by reference to Exhibit 10.9 to the Annual Report on Form</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Borders>
              <w:top w:val="single" w:sz="8" w:color="0000EE"/>
              <w:bottom w:val="single" w:sz="8" w:color="0000EE"/>
            </w:tcBorders>
            <w:gridSpan w:val="5"/>
          </w:tcPr>
          <w:p>
            <w:pPr>
              <w:spacing w:after="0" w:line="167" w:lineRule="exact"/>
              <w:rPr>
                <w:rFonts w:ascii="Times New Roman" w:cs="Times New Roman" w:eastAsia="Times New Roman" w:hAnsi="Times New Roman"/>
                <w:sz w:val="16"/>
                <w:szCs w:val="16"/>
                <w:color w:val="0000EE"/>
                <w:w w:val="96"/>
              </w:rPr>
            </w:pPr>
            <w:hyperlink r:id="rId84">
              <w:r>
                <w:rPr>
                  <w:rFonts w:ascii="Times New Roman" w:cs="Times New Roman" w:eastAsia="Times New Roman" w:hAnsi="Times New Roman"/>
                  <w:sz w:val="16"/>
                  <w:szCs w:val="16"/>
                  <w:color w:val="0000EE"/>
                  <w:w w:val="96"/>
                </w:rPr>
                <w:t>10-K filed with the SEC on March 15, 2023)</w:t>
              </w:r>
            </w:hyperlink>
          </w:p>
        </w:tc>
        <w:tc>
          <w:tcPr>
            <w:tcW w:w="6860" w:type="dxa"/>
            <w:vAlign w:val="bottom"/>
            <w:tcBorders>
              <w:top w:val="single" w:sz="8" w:color="0000EE"/>
            </w:tcBorders>
            <w:gridSpan w:val="14"/>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353"/>
        </w:trPr>
        <w:tc>
          <w:tcPr>
            <w:tcW w:w="900" w:type="dxa"/>
            <w:vAlign w:val="bottom"/>
            <w:gridSpan w:val="8"/>
          </w:tcPr>
          <w:p>
            <w:pPr>
              <w:jc w:val="center"/>
              <w:ind w:left="362"/>
              <w:spacing w:after="0"/>
              <w:rPr>
                <w:rFonts w:ascii="Times New Roman" w:cs="Times New Roman" w:eastAsia="Times New Roman" w:hAnsi="Times New Roman"/>
                <w:sz w:val="16"/>
                <w:szCs w:val="16"/>
                <w:color w:val="0000EE"/>
                <w:w w:val="93"/>
              </w:rPr>
            </w:pPr>
            <w:hyperlink r:id="rId85">
              <w:r>
                <w:rPr>
                  <w:rFonts w:ascii="Times New Roman" w:cs="Times New Roman" w:eastAsia="Times New Roman" w:hAnsi="Times New Roman"/>
                  <w:sz w:val="16"/>
                  <w:szCs w:val="16"/>
                  <w:color w:val="0000EE"/>
                  <w:w w:val="93"/>
                </w:rPr>
                <w:t>10.</w:t>
              </w:r>
              <w:r>
                <w:rPr>
                  <w:rFonts w:ascii="Times New Roman" w:cs="Times New Roman" w:eastAsia="Times New Roman" w:hAnsi="Times New Roman"/>
                  <w:sz w:val="16"/>
                  <w:szCs w:val="16"/>
                  <w:u w:val="single" w:color="auto"/>
                  <w:color w:val="0000EE"/>
                  <w:w w:val="93"/>
                </w:rPr>
                <w:t>10+</w:t>
              </w:r>
            </w:hyperlink>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9"/>
              </w:rPr>
            </w:pPr>
            <w:hyperlink r:id="rId85">
              <w:r>
                <w:rPr>
                  <w:rFonts w:ascii="Times New Roman" w:cs="Times New Roman" w:eastAsia="Times New Roman" w:hAnsi="Times New Roman"/>
                  <w:sz w:val="16"/>
                  <w:szCs w:val="16"/>
                  <w:color w:val="0000EE"/>
                  <w:w w:val="99"/>
                </w:rPr>
                <w:t>Form of Nonqualified Share Option Agreement under the 2015 Equity Incentive Plan (incorporated by reference to Exhibit 10.10 to the Annual Report on</w:t>
              </w:r>
            </w:hyperlink>
          </w:p>
        </w:tc>
      </w:tr>
      <w:tr>
        <w:trPr>
          <w:trHeight w:val="167"/>
        </w:trPr>
        <w:tc>
          <w:tcPr>
            <w:tcW w:w="4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6"/>
          </w:tcPr>
          <w:p>
            <w:pPr>
              <w:spacing w:after="0" w:line="167" w:lineRule="exact"/>
              <w:rPr>
                <w:rFonts w:ascii="Times New Roman" w:cs="Times New Roman" w:eastAsia="Times New Roman" w:hAnsi="Times New Roman"/>
                <w:sz w:val="16"/>
                <w:szCs w:val="16"/>
                <w:color w:val="0000EE"/>
                <w:w w:val="96"/>
              </w:rPr>
            </w:pPr>
            <w:hyperlink r:id="rId85">
              <w:r>
                <w:rPr>
                  <w:rFonts w:ascii="Times New Roman" w:cs="Times New Roman" w:eastAsia="Times New Roman" w:hAnsi="Times New Roman"/>
                  <w:sz w:val="16"/>
                  <w:szCs w:val="16"/>
                  <w:color w:val="0000EE"/>
                  <w:w w:val="96"/>
                </w:rPr>
                <w:t>Form 10-K filed with the SEC on March 15, 2023)</w:t>
              </w:r>
            </w:hyperlink>
          </w:p>
        </w:tc>
        <w:tc>
          <w:tcPr>
            <w:tcW w:w="6440" w:type="dxa"/>
            <w:vAlign w:val="bottom"/>
            <w:tcBorders>
              <w:top w:val="single" w:sz="8" w:color="0000EE"/>
            </w:tcBorders>
            <w:gridSpan w:val="11"/>
          </w:tcPr>
          <w:p>
            <w:pPr>
              <w:spacing w:after="0"/>
              <w:rPr>
                <w:sz w:val="14"/>
                <w:szCs w:val="14"/>
                <w:color w:val="auto"/>
              </w:rPr>
            </w:pPr>
          </w:p>
        </w:tc>
        <w:tc>
          <w:tcPr>
            <w:tcW w:w="200" w:type="dxa"/>
            <w:vAlign w:val="bottom"/>
            <w:gridSpan w:val="7"/>
          </w:tcPr>
          <w:p>
            <w:pPr>
              <w:spacing w:after="0"/>
              <w:rPr>
                <w:sz w:val="14"/>
                <w:szCs w:val="14"/>
                <w:color w:val="auto"/>
              </w:rPr>
            </w:pPr>
          </w:p>
        </w:tc>
      </w:tr>
      <w:tr>
        <w:trPr>
          <w:trHeight w:val="353"/>
        </w:trPr>
        <w:tc>
          <w:tcPr>
            <w:tcW w:w="900" w:type="dxa"/>
            <w:vAlign w:val="bottom"/>
            <w:gridSpan w:val="8"/>
          </w:tcPr>
          <w:p>
            <w:pPr>
              <w:jc w:val="center"/>
              <w:ind w:left="362"/>
              <w:spacing w:after="0"/>
              <w:rPr>
                <w:rFonts w:ascii="Times New Roman" w:cs="Times New Roman" w:eastAsia="Times New Roman" w:hAnsi="Times New Roman"/>
                <w:sz w:val="16"/>
                <w:szCs w:val="16"/>
                <w:color w:val="0000EE"/>
                <w:w w:val="93"/>
              </w:rPr>
            </w:pPr>
            <w:hyperlink r:id="rId86">
              <w:r>
                <w:rPr>
                  <w:rFonts w:ascii="Times New Roman" w:cs="Times New Roman" w:eastAsia="Times New Roman" w:hAnsi="Times New Roman"/>
                  <w:sz w:val="16"/>
                  <w:szCs w:val="16"/>
                  <w:color w:val="0000EE"/>
                  <w:w w:val="93"/>
                </w:rPr>
                <w:t>10.</w:t>
              </w:r>
              <w:r>
                <w:rPr>
                  <w:rFonts w:ascii="Times New Roman" w:cs="Times New Roman" w:eastAsia="Times New Roman" w:hAnsi="Times New Roman"/>
                  <w:sz w:val="16"/>
                  <w:szCs w:val="16"/>
                  <w:u w:val="single" w:color="auto"/>
                  <w:color w:val="0000EE"/>
                  <w:w w:val="93"/>
                </w:rPr>
                <w:t>11+</w:t>
              </w:r>
            </w:hyperlink>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8"/>
              </w:rPr>
            </w:pPr>
            <w:hyperlink r:id="rId86">
              <w:r>
                <w:rPr>
                  <w:rFonts w:ascii="Times New Roman" w:cs="Times New Roman" w:eastAsia="Times New Roman" w:hAnsi="Times New Roman"/>
                  <w:sz w:val="16"/>
                  <w:szCs w:val="16"/>
                  <w:color w:val="0000EE"/>
                  <w:w w:val="98"/>
                </w:rPr>
                <w:t>Second Amendment to the XBiotech Inc. 2015 Equity Incentive Plan (incorporated by reference to Annex A to the Registrant’s Definitive Proxy Statement</w:t>
              </w:r>
            </w:hyperlink>
          </w:p>
        </w:tc>
      </w:tr>
      <w:tr>
        <w:trPr>
          <w:trHeight w:val="167"/>
        </w:trPr>
        <w:tc>
          <w:tcPr>
            <w:tcW w:w="4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Pr>
          <w:p>
            <w:pPr>
              <w:spacing w:after="0"/>
              <w:rPr>
                <w:sz w:val="14"/>
                <w:szCs w:val="14"/>
                <w:color w:val="auto"/>
              </w:rPr>
            </w:pPr>
          </w:p>
        </w:tc>
        <w:tc>
          <w:tcPr>
            <w:tcW w:w="9660" w:type="dxa"/>
            <w:vAlign w:val="bottom"/>
            <w:tcBorders>
              <w:top w:val="single" w:sz="8" w:color="0000EE"/>
            </w:tcBorders>
            <w:gridSpan w:val="20"/>
          </w:tcPr>
          <w:p>
            <w:pPr>
              <w:spacing w:after="0" w:line="167"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on Schedule 14A filed on April 29, 2020)</w:t>
              </w:r>
            </w:hyperlink>
          </w:p>
        </w:tc>
        <w:tc>
          <w:tcPr>
            <w:tcW w:w="140" w:type="dxa"/>
            <w:vAlign w:val="bottom"/>
            <w:gridSpan w:val="4"/>
          </w:tcPr>
          <w:p>
            <w:pPr>
              <w:spacing w:after="0"/>
              <w:rPr>
                <w:sz w:val="14"/>
                <w:szCs w:val="14"/>
                <w:color w:val="auto"/>
              </w:rPr>
            </w:pP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3"/>
        </w:trPr>
        <w:tc>
          <w:tcPr>
            <w:tcW w:w="900" w:type="dxa"/>
            <w:vAlign w:val="bottom"/>
            <w:gridSpan w:val="8"/>
          </w:tcPr>
          <w:p>
            <w:pPr>
              <w:jc w:val="center"/>
              <w:ind w:left="362"/>
              <w:spacing w:after="0"/>
              <w:rPr>
                <w:rFonts w:ascii="Times New Roman" w:cs="Times New Roman" w:eastAsia="Times New Roman" w:hAnsi="Times New Roman"/>
                <w:sz w:val="16"/>
                <w:szCs w:val="16"/>
                <w:color w:val="0000EE"/>
                <w:w w:val="93"/>
              </w:rPr>
            </w:pPr>
            <w:hyperlink r:id="rId86">
              <w:r>
                <w:rPr>
                  <w:rFonts w:ascii="Times New Roman" w:cs="Times New Roman" w:eastAsia="Times New Roman" w:hAnsi="Times New Roman"/>
                  <w:sz w:val="16"/>
                  <w:szCs w:val="16"/>
                  <w:color w:val="0000EE"/>
                  <w:w w:val="93"/>
                </w:rPr>
                <w:t>10.</w:t>
              </w:r>
              <w:r>
                <w:rPr>
                  <w:rFonts w:ascii="Times New Roman" w:cs="Times New Roman" w:eastAsia="Times New Roman" w:hAnsi="Times New Roman"/>
                  <w:sz w:val="16"/>
                  <w:szCs w:val="16"/>
                  <w:u w:val="single" w:color="auto"/>
                  <w:color w:val="0000EE"/>
                  <w:w w:val="93"/>
                </w:rPr>
                <w:t>12+</w:t>
              </w:r>
            </w:hyperlink>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7"/>
              </w:rPr>
            </w:pPr>
            <w:hyperlink r:id="rId86">
              <w:r>
                <w:rPr>
                  <w:rFonts w:ascii="Times New Roman" w:cs="Times New Roman" w:eastAsia="Times New Roman" w:hAnsi="Times New Roman"/>
                  <w:sz w:val="16"/>
                  <w:szCs w:val="16"/>
                  <w:color w:val="0000EE"/>
                  <w:w w:val="97"/>
                </w:rPr>
                <w:t>Third Amendment to the XBiotech Inc. 2015 Equity Incentive Plan (incorporated by reference to Annex B to the Registrant’s Definitive Proxy Statement on</w:t>
              </w:r>
            </w:hyperlink>
          </w:p>
        </w:tc>
      </w:tr>
      <w:tr>
        <w:trPr>
          <w:trHeight w:val="167"/>
        </w:trPr>
        <w:tc>
          <w:tcPr>
            <w:tcW w:w="4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Pr>
          <w:p>
            <w:pPr>
              <w:spacing w:after="0"/>
              <w:rPr>
                <w:sz w:val="14"/>
                <w:szCs w:val="14"/>
                <w:color w:val="auto"/>
              </w:rPr>
            </w:pPr>
          </w:p>
        </w:tc>
        <w:tc>
          <w:tcPr>
            <w:tcW w:w="9740" w:type="dxa"/>
            <w:vAlign w:val="bottom"/>
            <w:tcBorders>
              <w:top w:val="single" w:sz="8" w:color="0000EE"/>
            </w:tcBorders>
            <w:gridSpan w:val="21"/>
          </w:tcPr>
          <w:p>
            <w:pPr>
              <w:spacing w:after="0" w:line="167"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Schedule 14A filed on April 29, 2020)</w:t>
              </w:r>
            </w:hyperlink>
          </w:p>
        </w:tc>
        <w:tc>
          <w:tcPr>
            <w:tcW w:w="60" w:type="dxa"/>
            <w:vAlign w:val="bottom"/>
            <w:gridSpan w:val="3"/>
          </w:tcPr>
          <w:p>
            <w:pPr>
              <w:spacing w:after="0"/>
              <w:rPr>
                <w:sz w:val="14"/>
                <w:szCs w:val="14"/>
                <w:color w:val="auto"/>
              </w:rPr>
            </w:pP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53"/>
        </w:trPr>
        <w:tc>
          <w:tcPr>
            <w:tcW w:w="900" w:type="dxa"/>
            <w:vAlign w:val="bottom"/>
            <w:gridSpan w:val="8"/>
          </w:tcPr>
          <w:p>
            <w:pPr>
              <w:jc w:val="center"/>
              <w:ind w:left="362"/>
              <w:spacing w:after="0"/>
              <w:rPr>
                <w:rFonts w:ascii="Times New Roman" w:cs="Times New Roman" w:eastAsia="Times New Roman" w:hAnsi="Times New Roman"/>
                <w:sz w:val="16"/>
                <w:szCs w:val="16"/>
                <w:color w:val="0000EE"/>
                <w:w w:val="93"/>
              </w:rPr>
            </w:pPr>
            <w:hyperlink r:id="rId87">
              <w:r>
                <w:rPr>
                  <w:rFonts w:ascii="Times New Roman" w:cs="Times New Roman" w:eastAsia="Times New Roman" w:hAnsi="Times New Roman"/>
                  <w:sz w:val="16"/>
                  <w:szCs w:val="16"/>
                  <w:color w:val="0000EE"/>
                  <w:w w:val="93"/>
                </w:rPr>
                <w:t>10.</w:t>
              </w:r>
              <w:r>
                <w:rPr>
                  <w:rFonts w:ascii="Times New Roman" w:cs="Times New Roman" w:eastAsia="Times New Roman" w:hAnsi="Times New Roman"/>
                  <w:sz w:val="16"/>
                  <w:szCs w:val="16"/>
                  <w:u w:val="single" w:color="auto"/>
                  <w:color w:val="0000EE"/>
                  <w:w w:val="93"/>
                </w:rPr>
                <w:t>13+</w:t>
              </w:r>
            </w:hyperlink>
          </w:p>
        </w:tc>
        <w:tc>
          <w:tcPr>
            <w:tcW w:w="560" w:type="dxa"/>
            <w:vAlign w:val="bottom"/>
          </w:tcPr>
          <w:p>
            <w:pPr>
              <w:spacing w:after="0"/>
              <w:rPr>
                <w:sz w:val="24"/>
                <w:szCs w:val="24"/>
                <w:color w:val="auto"/>
              </w:rPr>
            </w:pPr>
          </w:p>
        </w:tc>
        <w:tc>
          <w:tcPr>
            <w:tcW w:w="9800" w:type="dxa"/>
            <w:vAlign w:val="bottom"/>
            <w:gridSpan w:val="24"/>
          </w:tcPr>
          <w:p>
            <w:pPr>
              <w:spacing w:after="0"/>
              <w:rPr>
                <w:rFonts w:ascii="Times New Roman" w:cs="Times New Roman" w:eastAsia="Times New Roman" w:hAnsi="Times New Roman"/>
                <w:sz w:val="16"/>
                <w:szCs w:val="16"/>
                <w:color w:val="0000EE"/>
                <w:w w:val="98"/>
              </w:rPr>
            </w:pPr>
            <w:hyperlink r:id="rId87">
              <w:r>
                <w:rPr>
                  <w:rFonts w:ascii="Times New Roman" w:cs="Times New Roman" w:eastAsia="Times New Roman" w:hAnsi="Times New Roman"/>
                  <w:sz w:val="16"/>
                  <w:szCs w:val="16"/>
                  <w:color w:val="0000EE"/>
                  <w:w w:val="98"/>
                </w:rPr>
                <w:t>XBiotech Inc. 2025 Equity Incentive Plan (incorporated by reference to Annex B to the Registrant’s Definitive Proxy Statement on Schedule 14A filed on</w:t>
              </w:r>
            </w:hyperlink>
          </w:p>
        </w:tc>
      </w:tr>
      <w:tr>
        <w:trPr>
          <w:trHeight w:val="167"/>
        </w:trPr>
        <w:tc>
          <w:tcPr>
            <w:tcW w:w="4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Pr>
          <w:p>
            <w:pPr>
              <w:spacing w:after="0"/>
              <w:rPr>
                <w:sz w:val="14"/>
                <w:szCs w:val="14"/>
                <w:color w:val="auto"/>
              </w:rPr>
            </w:pPr>
          </w:p>
        </w:tc>
        <w:tc>
          <w:tcPr>
            <w:tcW w:w="9600" w:type="dxa"/>
            <w:vAlign w:val="bottom"/>
            <w:tcBorders>
              <w:top w:val="single" w:sz="8" w:color="0000EE"/>
            </w:tcBorders>
            <w:gridSpan w:val="17"/>
          </w:tcPr>
          <w:p>
            <w:pPr>
              <w:spacing w:after="0" w:line="167"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July 7, 2025)</w:t>
              </w:r>
            </w:hyperlink>
          </w:p>
        </w:tc>
        <w:tc>
          <w:tcPr>
            <w:tcW w:w="200" w:type="dxa"/>
            <w:vAlign w:val="bottom"/>
            <w:gridSpan w:val="7"/>
          </w:tcPr>
          <w:p>
            <w:pPr>
              <w:spacing w:after="0"/>
              <w:rPr>
                <w:sz w:val="14"/>
                <w:szCs w:val="14"/>
                <w:color w:val="auto"/>
              </w:rPr>
            </w:pP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53"/>
        </w:trPr>
        <w:tc>
          <w:tcPr>
            <w:tcW w:w="880" w:type="dxa"/>
            <w:vAlign w:val="bottom"/>
            <w:gridSpan w:val="7"/>
          </w:tcPr>
          <w:p>
            <w:pPr>
              <w:jc w:val="center"/>
              <w:ind w:left="382"/>
              <w:spacing w:after="0"/>
              <w:rPr>
                <w:sz w:val="20"/>
                <w:szCs w:val="20"/>
                <w:color w:val="auto"/>
              </w:rPr>
            </w:pPr>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14*</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Board Member Agreement, dated as of August 29, 2025, by and between XBiotech Inc. and Craig Rademaker</w:t>
            </w: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740" w:type="dxa"/>
            <w:vAlign w:val="bottom"/>
            <w:tcBorders>
              <w:left w:val="single" w:sz="8" w:color="0000EE"/>
            </w:tcBorders>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53"/>
        </w:trPr>
        <w:tc>
          <w:tcPr>
            <w:tcW w:w="880" w:type="dxa"/>
            <w:vAlign w:val="bottom"/>
            <w:gridSpan w:val="7"/>
          </w:tcPr>
          <w:p>
            <w:pPr>
              <w:jc w:val="center"/>
              <w:ind w:left="382"/>
              <w:spacing w:after="0"/>
              <w:rPr>
                <w:sz w:val="20"/>
                <w:szCs w:val="20"/>
                <w:color w:val="auto"/>
              </w:rPr>
            </w:pPr>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15*</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Board Member Agreement, dated as of August 29, 2025, by and between XBiotech Inc. and David Soffer</w:t>
            </w: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53"/>
        </w:trPr>
        <w:tc>
          <w:tcPr>
            <w:tcW w:w="880" w:type="dxa"/>
            <w:vAlign w:val="bottom"/>
            <w:gridSpan w:val="7"/>
          </w:tcPr>
          <w:p>
            <w:pPr>
              <w:jc w:val="center"/>
              <w:ind w:left="382"/>
              <w:spacing w:after="0"/>
              <w:rPr>
                <w:sz w:val="20"/>
                <w:szCs w:val="20"/>
                <w:color w:val="auto"/>
              </w:rPr>
            </w:pPr>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16*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Board Member Agreement, dated as of August 29, 2025, by and between XBiotech Inc. and Tevi Troy</w:t>
            </w:r>
          </w:p>
        </w:tc>
      </w:tr>
      <w:tr>
        <w:trPr>
          <w:trHeight w:val="20"/>
        </w:trPr>
        <w:tc>
          <w:tcPr>
            <w:tcW w:w="48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53"/>
        </w:trPr>
        <w:tc>
          <w:tcPr>
            <w:tcW w:w="880" w:type="dxa"/>
            <w:vAlign w:val="bottom"/>
            <w:gridSpan w:val="7"/>
          </w:tcPr>
          <w:p>
            <w:pPr>
              <w:jc w:val="center"/>
              <w:ind w:left="382"/>
              <w:spacing w:after="0"/>
              <w:rPr>
                <w:sz w:val="20"/>
                <w:szCs w:val="20"/>
                <w:color w:val="auto"/>
              </w:rPr>
            </w:pPr>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17*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Board Member Agreement, dated as of August 29, 2025, by and between XBiotech Inc. and Thomas Kuendig</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53"/>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7"/>
          </w:tcPr>
          <w:p>
            <w:pPr>
              <w:jc w:val="center"/>
              <w:ind w:right="580"/>
              <w:spacing w:after="0"/>
              <w:rPr>
                <w:rFonts w:ascii="Times New Roman" w:cs="Times New Roman" w:eastAsia="Times New Roman" w:hAnsi="Times New Roman"/>
                <w:sz w:val="16"/>
                <w:szCs w:val="16"/>
                <w:color w:val="0000EE"/>
                <w:w w:val="90"/>
              </w:rPr>
            </w:pPr>
            <w:hyperlink r:id="rId88">
              <w:r>
                <w:rPr>
                  <w:rFonts w:ascii="Times New Roman" w:cs="Times New Roman" w:eastAsia="Times New Roman" w:hAnsi="Times New Roman"/>
                  <w:sz w:val="16"/>
                  <w:szCs w:val="16"/>
                  <w:color w:val="0000EE"/>
                  <w:w w:val="90"/>
                </w:rPr>
                <w:t>10.</w:t>
              </w:r>
              <w:r>
                <w:rPr>
                  <w:rFonts w:ascii="Times New Roman" w:cs="Times New Roman" w:eastAsia="Times New Roman" w:hAnsi="Times New Roman"/>
                  <w:sz w:val="16"/>
                  <w:szCs w:val="16"/>
                  <w:u w:val="single" w:color="auto"/>
                  <w:color w:val="0000EE"/>
                  <w:w w:val="90"/>
                </w:rPr>
                <w:t>18†</w:t>
              </w:r>
            </w:hyperlink>
          </w:p>
        </w:tc>
        <w:tc>
          <w:tcPr>
            <w:tcW w:w="9800" w:type="dxa"/>
            <w:vAlign w:val="bottom"/>
            <w:gridSpan w:val="24"/>
          </w:tcPr>
          <w:p>
            <w:pPr>
              <w:spacing w:after="0"/>
              <w:rPr>
                <w:rFonts w:ascii="Times New Roman" w:cs="Times New Roman" w:eastAsia="Times New Roman" w:hAnsi="Times New Roman"/>
                <w:sz w:val="16"/>
                <w:szCs w:val="16"/>
                <w:color w:val="0000EE"/>
                <w:w w:val="99"/>
              </w:rPr>
            </w:pPr>
            <w:hyperlink r:id="rId88">
              <w:r>
                <w:rPr>
                  <w:rFonts w:ascii="Times New Roman" w:cs="Times New Roman" w:eastAsia="Times New Roman" w:hAnsi="Times New Roman"/>
                  <w:sz w:val="16"/>
                  <w:szCs w:val="16"/>
                  <w:color w:val="0000EE"/>
                  <w:w w:val="99"/>
                </w:rPr>
                <w:t>IP Non-Assertion and License Agreement, dated as of December 30, 2019, between XBiotech Inc. and Janssen Biotech, Inc. (incorporated by reference to</w:t>
              </w:r>
            </w:hyperlink>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80" w:type="dxa"/>
            <w:vAlign w:val="bottom"/>
            <w:tcBorders>
              <w:top w:val="single" w:sz="8" w:color="0000EE"/>
            </w:tcBorders>
            <w:gridSpan w:val="16"/>
          </w:tcPr>
          <w:p>
            <w:pPr>
              <w:spacing w:after="0" w:line="167"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Exhibit 10.1 to the Registrant’s Current Report on Form 8-K filed on December 30, 2019)</w:t>
              </w:r>
            </w:hyperlink>
          </w:p>
        </w:tc>
        <w:tc>
          <w:tcPr>
            <w:tcW w:w="220" w:type="dxa"/>
            <w:vAlign w:val="bottom"/>
            <w:gridSpan w:val="8"/>
          </w:tcPr>
          <w:p>
            <w:pPr>
              <w:spacing w:after="0"/>
              <w:rPr>
                <w:sz w:val="14"/>
                <w:szCs w:val="14"/>
                <w:color w:val="auto"/>
              </w:rPr>
            </w:pPr>
          </w:p>
        </w:tc>
      </w:tr>
      <w:tr>
        <w:trPr>
          <w:trHeight w:val="38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Borders>
              <w:top w:val="single" w:sz="8" w:color="0000EE"/>
            </w:tcBorders>
            <w:gridSpan w:val="8"/>
          </w:tcPr>
          <w:p>
            <w:pPr>
              <w:ind w:left="4080"/>
              <w:spacing w:after="0"/>
              <w:rPr>
                <w:sz w:val="20"/>
                <w:szCs w:val="20"/>
                <w:color w:val="auto"/>
              </w:rPr>
            </w:pPr>
            <w:r>
              <w:rPr>
                <w:rFonts w:ascii="Times New Roman" w:cs="Times New Roman" w:eastAsia="Times New Roman" w:hAnsi="Times New Roman"/>
                <w:sz w:val="16"/>
                <w:szCs w:val="16"/>
                <w:color w:val="auto"/>
              </w:rPr>
              <w:t>62</w:t>
            </w:r>
          </w:p>
        </w:tc>
        <w:tc>
          <w:tcPr>
            <w:tcW w:w="8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04" w:right="3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000" w:type="dxa"/>
            <w:vAlign w:val="bottom"/>
            <w:gridSpan w:val="6"/>
          </w:tcPr>
          <w:p>
            <w:pPr>
              <w:jc w:val="center"/>
              <w:ind w:right="580"/>
              <w:spacing w:after="0"/>
              <w:rPr>
                <w:rFonts w:ascii="Times New Roman" w:cs="Times New Roman" w:eastAsia="Times New Roman" w:hAnsi="Times New Roman"/>
                <w:sz w:val="16"/>
                <w:szCs w:val="16"/>
                <w:color w:val="0000EE"/>
                <w:w w:val="95"/>
              </w:rPr>
            </w:pPr>
            <w:hyperlink r:id="rId89">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19†</w:t>
              </w:r>
            </w:hyperlink>
          </w:p>
        </w:tc>
        <w:tc>
          <w:tcPr>
            <w:tcW w:w="9800" w:type="dxa"/>
            <w:vAlign w:val="bottom"/>
            <w:gridSpan w:val="10"/>
          </w:tcPr>
          <w:p>
            <w:pPr>
              <w:spacing w:after="0"/>
              <w:rPr>
                <w:rFonts w:ascii="Times New Roman" w:cs="Times New Roman" w:eastAsia="Times New Roman" w:hAnsi="Times New Roman"/>
                <w:sz w:val="16"/>
                <w:szCs w:val="16"/>
                <w:color w:val="0000EE"/>
                <w:w w:val="98"/>
              </w:rPr>
            </w:pPr>
            <w:hyperlink r:id="rId89">
              <w:r>
                <w:rPr>
                  <w:rFonts w:ascii="Times New Roman" w:cs="Times New Roman" w:eastAsia="Times New Roman" w:hAnsi="Times New Roman"/>
                  <w:sz w:val="16"/>
                  <w:szCs w:val="16"/>
                  <w:color w:val="0000EE"/>
                  <w:w w:val="98"/>
                </w:rPr>
                <w:t>Clinical Manufacturing Agreement, dated as of December 30, 2019, between XBiotech Inc. and Janssen Biotech, Inc. (incorporated by reference to Exhibit</w:t>
              </w:r>
            </w:hyperlink>
          </w:p>
        </w:tc>
      </w:tr>
      <w:tr>
        <w:trPr>
          <w:trHeight w:val="167"/>
        </w:trPr>
        <w:tc>
          <w:tcPr>
            <w:tcW w:w="4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60" w:type="dxa"/>
            <w:vAlign w:val="bottom"/>
            <w:tcBorders>
              <w:top w:val="single" w:sz="8" w:color="0000EE"/>
            </w:tcBorders>
            <w:gridSpan w:val="9"/>
          </w:tcPr>
          <w:p>
            <w:pPr>
              <w:spacing w:after="0" w:line="167"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14</w:t>
              </w:r>
              <w:r>
                <w:rPr>
                  <w:rFonts w:ascii="Times New Roman" w:cs="Times New Roman" w:eastAsia="Times New Roman" w:hAnsi="Times New Roman"/>
                  <w:sz w:val="16"/>
                  <w:szCs w:val="16"/>
                  <w:color w:val="0000EE"/>
                </w:rPr>
                <w:t xml:space="preserve"> to the Registrant’s Current Report on Form 10-K filed on March 16, 2020)</w:t>
              </w:r>
            </w:hyperlink>
          </w:p>
        </w:tc>
        <w:tc>
          <w:tcPr>
            <w:tcW w:w="14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3"/>
        </w:trPr>
        <w:tc>
          <w:tcPr>
            <w:tcW w:w="40" w:type="dxa"/>
            <w:vAlign w:val="bottom"/>
          </w:tcPr>
          <w:p>
            <w:pPr>
              <w:spacing w:after="0"/>
              <w:rPr>
                <w:sz w:val="24"/>
                <w:szCs w:val="24"/>
                <w:color w:val="auto"/>
              </w:rPr>
            </w:pPr>
          </w:p>
        </w:tc>
        <w:tc>
          <w:tcPr>
            <w:tcW w:w="1000" w:type="dxa"/>
            <w:vAlign w:val="bottom"/>
            <w:gridSpan w:val="6"/>
          </w:tcPr>
          <w:p>
            <w:pPr>
              <w:jc w:val="center"/>
              <w:ind w:right="580"/>
              <w:spacing w:after="0"/>
              <w:rPr>
                <w:rFonts w:ascii="Times New Roman" w:cs="Times New Roman" w:eastAsia="Times New Roman" w:hAnsi="Times New Roman"/>
                <w:sz w:val="16"/>
                <w:szCs w:val="16"/>
                <w:color w:val="0000EE"/>
                <w:w w:val="95"/>
              </w:rPr>
            </w:pPr>
            <w:hyperlink r:id="rId90">
              <w:r>
                <w:rPr>
                  <w:rFonts w:ascii="Times New Roman" w:cs="Times New Roman" w:eastAsia="Times New Roman" w:hAnsi="Times New Roman"/>
                  <w:sz w:val="16"/>
                  <w:szCs w:val="16"/>
                  <w:color w:val="0000EE"/>
                  <w:w w:val="95"/>
                </w:rPr>
                <w:t>10.</w:t>
              </w:r>
              <w:r>
                <w:rPr>
                  <w:rFonts w:ascii="Times New Roman" w:cs="Times New Roman" w:eastAsia="Times New Roman" w:hAnsi="Times New Roman"/>
                  <w:sz w:val="16"/>
                  <w:szCs w:val="16"/>
                  <w:u w:val="single" w:color="auto"/>
                  <w:color w:val="0000EE"/>
                  <w:w w:val="95"/>
                </w:rPr>
                <w:t>20†</w:t>
              </w:r>
            </w:hyperlink>
          </w:p>
        </w:tc>
        <w:tc>
          <w:tcPr>
            <w:tcW w:w="9800" w:type="dxa"/>
            <w:vAlign w:val="bottom"/>
            <w:gridSpan w:val="10"/>
          </w:tcPr>
          <w:p>
            <w:pPr>
              <w:spacing w:after="0"/>
              <w:rPr>
                <w:rFonts w:ascii="Times New Roman" w:cs="Times New Roman" w:eastAsia="Times New Roman" w:hAnsi="Times New Roman"/>
                <w:sz w:val="16"/>
                <w:szCs w:val="16"/>
                <w:color w:val="0000EE"/>
                <w:w w:val="96"/>
              </w:rPr>
            </w:pPr>
            <w:hyperlink r:id="rId90">
              <w:r>
                <w:rPr>
                  <w:rFonts w:ascii="Times New Roman" w:cs="Times New Roman" w:eastAsia="Times New Roman" w:hAnsi="Times New Roman"/>
                  <w:sz w:val="16"/>
                  <w:szCs w:val="16"/>
                  <w:color w:val="0000EE"/>
                  <w:w w:val="96"/>
                </w:rPr>
                <w:t>Transition Services Agreement, dated as of December 30, 2019, between XBiotech Inc. and Janssen Biotech, Inc. (incorporated by reference to Exhibit 10.15</w:t>
              </w:r>
            </w:hyperlink>
          </w:p>
        </w:tc>
      </w:tr>
      <w:tr>
        <w:trPr>
          <w:trHeight w:val="167"/>
        </w:trPr>
        <w:tc>
          <w:tcPr>
            <w:tcW w:w="4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40" w:type="dxa"/>
            <w:vAlign w:val="bottom"/>
            <w:tcBorders>
              <w:top w:val="single" w:sz="8" w:color="0000EE"/>
              <w:bottom w:val="single" w:sz="8" w:color="0000EE"/>
            </w:tcBorders>
            <w:gridSpan w:val="4"/>
          </w:tcPr>
          <w:p>
            <w:pPr>
              <w:spacing w:after="0" w:line="167" w:lineRule="exact"/>
              <w:rPr>
                <w:rFonts w:ascii="Times New Roman" w:cs="Times New Roman" w:eastAsia="Times New Roman" w:hAnsi="Times New Roman"/>
                <w:sz w:val="16"/>
                <w:szCs w:val="16"/>
                <w:color w:val="0000EE"/>
                <w:w w:val="96"/>
              </w:rPr>
            </w:pPr>
            <w:hyperlink r:id="rId90">
              <w:r>
                <w:rPr>
                  <w:rFonts w:ascii="Times New Roman" w:cs="Times New Roman" w:eastAsia="Times New Roman" w:hAnsi="Times New Roman"/>
                  <w:sz w:val="16"/>
                  <w:szCs w:val="16"/>
                  <w:color w:val="0000EE"/>
                  <w:w w:val="96"/>
                </w:rPr>
                <w:t>to the Registrant’s Current Report on Form 10-K filed on March 16, 2020)</w:t>
              </w:r>
            </w:hyperlink>
          </w:p>
        </w:tc>
        <w:tc>
          <w:tcPr>
            <w:tcW w:w="5160" w:type="dxa"/>
            <w:vAlign w:val="bottom"/>
            <w:tcBorders>
              <w:top w:val="single" w:sz="8" w:color="0000EE"/>
            </w:tcBorders>
            <w:gridSpan w:val="6"/>
          </w:tcPr>
          <w:p>
            <w:pPr>
              <w:spacing w:after="0"/>
              <w:rPr>
                <w:sz w:val="14"/>
                <w:szCs w:val="14"/>
                <w:color w:val="auto"/>
              </w:rPr>
            </w:pPr>
          </w:p>
        </w:tc>
      </w:tr>
      <w:tr>
        <w:trPr>
          <w:trHeight w:val="353"/>
        </w:trPr>
        <w:tc>
          <w:tcPr>
            <w:tcW w:w="1040" w:type="dxa"/>
            <w:vAlign w:val="bottom"/>
            <w:gridSpan w:val="7"/>
          </w:tcPr>
          <w:p>
            <w:pPr>
              <w:jc w:val="center"/>
              <w:ind w:right="540"/>
              <w:spacing w:after="0"/>
              <w:rPr>
                <w:sz w:val="20"/>
                <w:szCs w:val="20"/>
                <w:color w:val="auto"/>
              </w:rPr>
            </w:pPr>
            <w:r>
              <w:rPr>
                <w:rFonts w:ascii="Times New Roman" w:cs="Times New Roman" w:eastAsia="Times New Roman" w:hAnsi="Times New Roman"/>
                <w:sz w:val="16"/>
                <w:szCs w:val="16"/>
                <w:color w:val="0000EE"/>
                <w:w w:val="96"/>
              </w:rPr>
              <w:t>10.</w:t>
            </w:r>
            <w:r>
              <w:rPr>
                <w:rFonts w:ascii="Times New Roman" w:cs="Times New Roman" w:eastAsia="Times New Roman" w:hAnsi="Times New Roman"/>
                <w:sz w:val="16"/>
                <w:szCs w:val="16"/>
                <w:u w:val="single" w:color="auto"/>
                <w:color w:val="0000EE"/>
                <w:w w:val="96"/>
              </w:rPr>
              <w:t>21†*</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XBiotech Inc. Insider Trading Policy</w:t>
            </w:r>
          </w:p>
        </w:tc>
      </w:tr>
      <w:tr>
        <w:trPr>
          <w:trHeight w:val="20"/>
        </w:trPr>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3"/>
        </w:trPr>
        <w:tc>
          <w:tcPr>
            <w:tcW w:w="320" w:type="dxa"/>
            <w:vAlign w:val="bottom"/>
            <w:gridSpan w:val="4"/>
          </w:tcPr>
          <w:p>
            <w:pPr>
              <w:jc w:val="center"/>
              <w:ind w:left="102"/>
              <w:spacing w:after="0"/>
              <w:rPr>
                <w:rFonts w:ascii="Times New Roman" w:cs="Times New Roman" w:eastAsia="Times New Roman" w:hAnsi="Times New Roman"/>
                <w:sz w:val="16"/>
                <w:szCs w:val="16"/>
                <w:color w:val="0000EE"/>
                <w:w w:val="87"/>
              </w:rPr>
            </w:pPr>
            <w:hyperlink r:id="rId91">
              <w:r>
                <w:rPr>
                  <w:rFonts w:ascii="Times New Roman" w:cs="Times New Roman" w:eastAsia="Times New Roman" w:hAnsi="Times New Roman"/>
                  <w:sz w:val="16"/>
                  <w:szCs w:val="16"/>
                  <w:color w:val="0000EE"/>
                  <w:w w:val="87"/>
                </w:rPr>
                <w:t>97</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XBiotech Inc. Clawback Policy (incorporated by reference to Exhibit 97 to the Registrant’s Current Report on Form 10-K filed on March 18, 2025)</w:t>
              </w:r>
            </w:hyperlink>
          </w:p>
        </w:tc>
      </w:tr>
      <w:tr>
        <w:trPr>
          <w:trHeight w:val="20"/>
        </w:trPr>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3"/>
        </w:trPr>
        <w:tc>
          <w:tcPr>
            <w:tcW w:w="420" w:type="dxa"/>
            <w:vAlign w:val="bottom"/>
            <w:gridSpan w:val="5"/>
          </w:tcPr>
          <w:p>
            <w:pPr>
              <w:jc w:val="center"/>
              <w:ind w:left="2"/>
              <w:spacing w:after="0"/>
              <w:rPr>
                <w:sz w:val="20"/>
                <w:szCs w:val="20"/>
                <w:color w:val="auto"/>
              </w:rPr>
            </w:pPr>
            <w:r>
              <w:rPr>
                <w:rFonts w:ascii="Times New Roman" w:cs="Times New Roman" w:eastAsia="Times New Roman" w:hAnsi="Times New Roman"/>
                <w:sz w:val="16"/>
                <w:szCs w:val="16"/>
                <w:color w:val="0000EE"/>
                <w:w w:val="94"/>
              </w:rPr>
              <w:t>21.</w:t>
            </w:r>
            <w:r>
              <w:rPr>
                <w:rFonts w:ascii="Times New Roman" w:cs="Times New Roman" w:eastAsia="Times New Roman" w:hAnsi="Times New Roman"/>
                <w:sz w:val="16"/>
                <w:szCs w:val="16"/>
                <w:u w:val="single" w:color="auto"/>
                <w:color w:val="0000EE"/>
                <w:w w:val="94"/>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List of subsidiaries</w:t>
            </w:r>
          </w:p>
        </w:tc>
      </w:tr>
      <w:tr>
        <w:trPr>
          <w:trHeight w:val="20"/>
        </w:trPr>
        <w:tc>
          <w:tcPr>
            <w:tcW w:w="8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3"/>
        </w:trPr>
        <w:tc>
          <w:tcPr>
            <w:tcW w:w="420" w:type="dxa"/>
            <w:vAlign w:val="bottom"/>
            <w:gridSpan w:val="5"/>
          </w:tcPr>
          <w:p>
            <w:pPr>
              <w:jc w:val="center"/>
              <w:ind w:left="2"/>
              <w:spacing w:after="0"/>
              <w:rPr>
                <w:sz w:val="20"/>
                <w:szCs w:val="20"/>
                <w:color w:val="auto"/>
              </w:rPr>
            </w:pPr>
            <w:r>
              <w:rPr>
                <w:rFonts w:ascii="Times New Roman" w:cs="Times New Roman" w:eastAsia="Times New Roman" w:hAnsi="Times New Roman"/>
                <w:sz w:val="16"/>
                <w:szCs w:val="16"/>
                <w:color w:val="0000EE"/>
                <w:w w:val="94"/>
              </w:rPr>
              <w:t>23.</w:t>
            </w:r>
            <w:r>
              <w:rPr>
                <w:rFonts w:ascii="Times New Roman" w:cs="Times New Roman" w:eastAsia="Times New Roman" w:hAnsi="Times New Roman"/>
                <w:sz w:val="16"/>
                <w:szCs w:val="16"/>
                <w:u w:val="single" w:color="auto"/>
                <w:color w:val="0000EE"/>
                <w:w w:val="94"/>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Consent of Independent Registered Public Accounting Firm, Whitley Penn LLP</w:t>
            </w:r>
          </w:p>
        </w:tc>
      </w:tr>
      <w:tr>
        <w:trPr>
          <w:trHeight w:val="20"/>
        </w:trPr>
        <w:tc>
          <w:tcPr>
            <w:tcW w:w="8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3"/>
        </w:trPr>
        <w:tc>
          <w:tcPr>
            <w:tcW w:w="420" w:type="dxa"/>
            <w:vAlign w:val="bottom"/>
            <w:gridSpan w:val="5"/>
          </w:tcPr>
          <w:p>
            <w:pPr>
              <w:jc w:val="center"/>
              <w:ind w:left="2"/>
              <w:spacing w:after="0"/>
              <w:rPr>
                <w:sz w:val="20"/>
                <w:szCs w:val="20"/>
                <w:color w:val="auto"/>
              </w:rPr>
            </w:pPr>
            <w:r>
              <w:rPr>
                <w:rFonts w:ascii="Times New Roman" w:cs="Times New Roman" w:eastAsia="Times New Roman" w:hAnsi="Times New Roman"/>
                <w:sz w:val="16"/>
                <w:szCs w:val="16"/>
                <w:color w:val="0000EE"/>
                <w:w w:val="94"/>
              </w:rPr>
              <w:t>31.</w:t>
            </w:r>
            <w:r>
              <w:rPr>
                <w:rFonts w:ascii="Times New Roman" w:cs="Times New Roman" w:eastAsia="Times New Roman" w:hAnsi="Times New Roman"/>
                <w:sz w:val="16"/>
                <w:szCs w:val="16"/>
                <w:u w:val="single" w:color="auto"/>
                <w:color w:val="0000EE"/>
                <w:w w:val="94"/>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Certification of the Principal Executive Officer Required Under Rules 13a-14(a) and 15d-14(a) of the Securities Act of 1934, as amended, as adopted</w:t>
            </w:r>
          </w:p>
        </w:tc>
      </w:tr>
      <w:tr>
        <w:trPr>
          <w:trHeight w:val="167"/>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80" w:type="dxa"/>
            <w:vAlign w:val="bottom"/>
            <w:tcBorders>
              <w:top w:val="single" w:sz="8" w:color="0000EE"/>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6"/>
                <w:szCs w:val="16"/>
                <w:color w:val="0000EE"/>
                <w:w w:val="96"/>
              </w:rPr>
              <w:t>pursuant to Section 302 of the Sarbanes-Oxley Act of 2002</w:t>
            </w:r>
          </w:p>
        </w:tc>
        <w:tc>
          <w:tcPr>
            <w:tcW w:w="5600" w:type="dxa"/>
            <w:vAlign w:val="bottom"/>
            <w:tcBorders>
              <w:top w:val="single" w:sz="8" w:color="0000EE"/>
            </w:tcBorders>
            <w:gridSpan w:val="5"/>
          </w:tcPr>
          <w:p>
            <w:pPr>
              <w:spacing w:after="0"/>
              <w:rPr>
                <w:sz w:val="14"/>
                <w:szCs w:val="14"/>
                <w:color w:val="auto"/>
              </w:rPr>
            </w:pPr>
          </w:p>
        </w:tc>
        <w:tc>
          <w:tcPr>
            <w:tcW w:w="520" w:type="dxa"/>
            <w:vAlign w:val="bottom"/>
            <w:gridSpan w:val="2"/>
          </w:tcPr>
          <w:p>
            <w:pPr>
              <w:spacing w:after="0"/>
              <w:rPr>
                <w:sz w:val="14"/>
                <w:szCs w:val="14"/>
                <w:color w:val="auto"/>
              </w:rPr>
            </w:pPr>
          </w:p>
        </w:tc>
      </w:tr>
      <w:tr>
        <w:trPr>
          <w:trHeight w:val="353"/>
        </w:trPr>
        <w:tc>
          <w:tcPr>
            <w:tcW w:w="420" w:type="dxa"/>
            <w:vAlign w:val="bottom"/>
            <w:gridSpan w:val="5"/>
          </w:tcPr>
          <w:p>
            <w:pPr>
              <w:jc w:val="center"/>
              <w:ind w:left="2"/>
              <w:spacing w:after="0"/>
              <w:rPr>
                <w:sz w:val="20"/>
                <w:szCs w:val="20"/>
                <w:color w:val="auto"/>
              </w:rPr>
            </w:pPr>
            <w:r>
              <w:rPr>
                <w:rFonts w:ascii="Times New Roman" w:cs="Times New Roman" w:eastAsia="Times New Roman" w:hAnsi="Times New Roman"/>
                <w:sz w:val="16"/>
                <w:szCs w:val="16"/>
                <w:color w:val="0000EE"/>
                <w:w w:val="94"/>
              </w:rPr>
              <w:t>31.</w:t>
            </w:r>
            <w:r>
              <w:rPr>
                <w:rFonts w:ascii="Times New Roman" w:cs="Times New Roman" w:eastAsia="Times New Roman" w:hAnsi="Times New Roman"/>
                <w:sz w:val="16"/>
                <w:szCs w:val="16"/>
                <w:u w:val="single" w:color="auto"/>
                <w:color w:val="0000EE"/>
                <w:w w:val="94"/>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Certification of the Principal Financial Officer Required Under Rules 13a-14(a) and 15d-14(a) of the Securities Act of 1934, as amended, as adopted</w:t>
            </w:r>
          </w:p>
        </w:tc>
      </w:tr>
      <w:tr>
        <w:trPr>
          <w:trHeight w:val="167"/>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80" w:type="dxa"/>
            <w:vAlign w:val="bottom"/>
            <w:tcBorders>
              <w:top w:val="single" w:sz="8" w:color="0000EE"/>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6"/>
                <w:szCs w:val="16"/>
                <w:color w:val="0000EE"/>
                <w:w w:val="96"/>
              </w:rPr>
              <w:t>pursuant to Section 302 of the Sarbanes-Oxley Act of 2002</w:t>
            </w:r>
          </w:p>
        </w:tc>
        <w:tc>
          <w:tcPr>
            <w:tcW w:w="5560" w:type="dxa"/>
            <w:vAlign w:val="bottom"/>
            <w:tcBorders>
              <w:top w:val="single" w:sz="8" w:color="0000EE"/>
            </w:tcBorders>
            <w:gridSpan w:val="4"/>
          </w:tcPr>
          <w:p>
            <w:pPr>
              <w:spacing w:after="0"/>
              <w:rPr>
                <w:sz w:val="14"/>
                <w:szCs w:val="14"/>
                <w:color w:val="auto"/>
              </w:rPr>
            </w:pPr>
          </w:p>
        </w:tc>
        <w:tc>
          <w:tcPr>
            <w:tcW w:w="560" w:type="dxa"/>
            <w:vAlign w:val="bottom"/>
            <w:gridSpan w:val="3"/>
          </w:tcPr>
          <w:p>
            <w:pPr>
              <w:spacing w:after="0"/>
              <w:rPr>
                <w:sz w:val="14"/>
                <w:szCs w:val="14"/>
                <w:color w:val="auto"/>
              </w:rPr>
            </w:pPr>
          </w:p>
        </w:tc>
      </w:tr>
      <w:tr>
        <w:trPr>
          <w:trHeight w:val="353"/>
        </w:trPr>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EE"/>
                <w:w w:val="95"/>
              </w:rPr>
              <w:t>32.</w:t>
            </w:r>
            <w:r>
              <w:rPr>
                <w:rFonts w:ascii="Times New Roman" w:cs="Times New Roman" w:eastAsia="Times New Roman" w:hAnsi="Times New Roman"/>
                <w:sz w:val="16"/>
                <w:szCs w:val="16"/>
                <w:u w:val="single" w:color="auto"/>
                <w:color w:val="0000EE"/>
                <w:w w:val="95"/>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pursuant to18 U.S.C. Section 1350, as adopted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140" w:type="dxa"/>
            <w:vAlign w:val="bottom"/>
            <w:gridSpan w:val="6"/>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353"/>
        </w:trPr>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EE"/>
                <w:w w:val="95"/>
              </w:rPr>
              <w:t>32.</w:t>
            </w:r>
            <w:r>
              <w:rPr>
                <w:rFonts w:ascii="Times New Roman" w:cs="Times New Roman" w:eastAsia="Times New Roman" w:hAnsi="Times New Roman"/>
                <w:sz w:val="16"/>
                <w:szCs w:val="16"/>
                <w:u w:val="single" w:color="auto"/>
                <w:color w:val="0000EE"/>
                <w:w w:val="95"/>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 18 U.S.C. Section 1350, as adopted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140" w:type="dxa"/>
            <w:vAlign w:val="bottom"/>
            <w:gridSpan w:val="6"/>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3"/>
              </w:rPr>
              <w:t>101*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following financial statements from the XBiotech Inc. Annual Report on Form 10-K for the year ended December 31, 2024, formatted in Inline</w:t>
            </w:r>
          </w:p>
        </w:tc>
      </w:tr>
      <w:tr>
        <w:trPr>
          <w:trHeight w:val="187"/>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7"/>
              </w:rPr>
              <w:t>Extensive Business Reporting Language (XBRL): (i) consolidated balance sheets, (ii) consolidated statements of operations, (iii) consolidated statements of</w:t>
            </w:r>
          </w:p>
        </w:tc>
      </w:tr>
      <w:tr>
        <w:trPr>
          <w:trHeight w:val="187"/>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8"/>
              </w:rPr>
              <w:t>comprehensive loss, (iv) consolidated statements of shareholders’ equity; (v) consolidated statements of cash flows and (vi) notes to consolidated financial</w:t>
            </w:r>
          </w:p>
        </w:tc>
      </w:tr>
      <w:tr>
        <w:trPr>
          <w:trHeight w:val="203"/>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statements (detail tagged).</w:t>
            </w:r>
          </w:p>
        </w:tc>
      </w:tr>
      <w:tr>
        <w:trPr>
          <w:trHeight w:val="373"/>
        </w:trPr>
        <w:tc>
          <w:tcPr>
            <w:tcW w:w="420" w:type="dxa"/>
            <w:vAlign w:val="bottom"/>
            <w:gridSpan w:val="5"/>
          </w:tcPr>
          <w:p>
            <w:pPr>
              <w:jc w:val="center"/>
              <w:ind w:left="2"/>
              <w:spacing w:after="0"/>
              <w:rPr>
                <w:sz w:val="20"/>
                <w:szCs w:val="20"/>
                <w:color w:val="auto"/>
              </w:rPr>
            </w:pPr>
            <w:r>
              <w:rPr>
                <w:rFonts w:ascii="Times New Roman" w:cs="Times New Roman" w:eastAsia="Times New Roman" w:hAnsi="Times New Roman"/>
                <w:sz w:val="16"/>
                <w:szCs w:val="16"/>
                <w:color w:val="auto"/>
                <w:w w:val="93"/>
              </w:rPr>
              <w:t>104*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iXBRL document and contained in Exhibit 101).</w:t>
            </w:r>
          </w:p>
        </w:tc>
      </w:tr>
    </w:tbl>
    <w:p>
      <w:pPr>
        <w:spacing w:after="0" w:line="171" w:lineRule="exact"/>
        <w:rPr>
          <w:sz w:val="20"/>
          <w:szCs w:val="20"/>
          <w:color w:val="auto"/>
        </w:rPr>
      </w:pPr>
    </w:p>
    <w:p>
      <w:pPr>
        <w:ind w:left="1040" w:hanging="829"/>
        <w:spacing w:after="0"/>
        <w:tabs>
          <w:tab w:leader="none" w:pos="10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information has been excluded from this exhibit because the Company does not believe it is material and is the type that the Company</w:t>
      </w:r>
    </w:p>
    <w:p>
      <w:pPr>
        <w:spacing w:after="0" w:line="19" w:lineRule="exact"/>
        <w:rPr>
          <w:sz w:val="20"/>
          <w:szCs w:val="20"/>
          <w:color w:val="auto"/>
        </w:rPr>
      </w:pPr>
    </w:p>
    <w:p>
      <w:pPr>
        <w:ind w:left="1040" w:right="220"/>
        <w:spacing w:after="0" w:line="243" w:lineRule="auto"/>
        <w:rPr>
          <w:sz w:val="20"/>
          <w:szCs w:val="20"/>
          <w:color w:val="auto"/>
        </w:rPr>
      </w:pPr>
      <w:r>
        <w:rPr>
          <w:rFonts w:ascii="Times New Roman" w:cs="Times New Roman" w:eastAsia="Times New Roman" w:hAnsi="Times New Roman"/>
          <w:sz w:val="16"/>
          <w:szCs w:val="16"/>
          <w:color w:val="auto"/>
        </w:rPr>
        <w:t>customarily treats as private and confidential. Redacted information is indicated by [*****]. The Company hereby agrees to furnish a copy of any omitted schedule or attachment to the Securities and Exchange Commission upon request.</w:t>
      </w:r>
    </w:p>
    <w:p>
      <w:pPr>
        <w:spacing w:after="0" w:line="1" w:lineRule="exact"/>
        <w:rPr>
          <w:sz w:val="20"/>
          <w:szCs w:val="20"/>
          <w:color w:val="auto"/>
        </w:rPr>
      </w:pPr>
    </w:p>
    <w:p>
      <w:pPr>
        <w:ind w:left="1040" w:hanging="834"/>
        <w:spacing w:after="0"/>
        <w:tabs>
          <w:tab w:leader="none" w:pos="10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3" w:lineRule="exact"/>
        <w:rPr>
          <w:sz w:val="20"/>
          <w:szCs w:val="20"/>
          <w:color w:val="auto"/>
        </w:rPr>
      </w:pPr>
    </w:p>
    <w:p>
      <w:pPr>
        <w:ind w:left="1040" w:hanging="829"/>
        <w:spacing w:after="0"/>
        <w:tabs>
          <w:tab w:leader="none" w:pos="10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 w:lineRule="exact"/>
        <w:rPr>
          <w:sz w:val="20"/>
          <w:szCs w:val="20"/>
          <w:color w:val="auto"/>
        </w:rPr>
      </w:pPr>
    </w:p>
    <w:p>
      <w:pPr>
        <w:jc w:val="both"/>
        <w:ind w:left="1040" w:right="80" w:hanging="868"/>
        <w:spacing w:after="0" w:line="245" w:lineRule="auto"/>
        <w:tabs>
          <w:tab w:leader="none" w:pos="10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71755</wp:posOffset>
            </wp:positionV>
            <wp:extent cx="715073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40"/>
          </w:cols>
          <w:pgMar w:left="740" w:top="504" w:right="319" w:bottom="1440" w:gutter="0" w:footer="0" w:header="0"/>
        </w:sectPr>
      </w:pPr>
    </w:p>
    <w:bookmarkStart w:id="63" w:name="page64"/>
    <w:bookmarkEnd w:id="63"/>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 SUMMARY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5073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39"/>
          </w:cols>
          <w:pgMar w:left="320" w:top="518" w:right="1440"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on March 13, 2026.</w:t>
      </w:r>
    </w:p>
    <w:p>
      <w:pPr>
        <w:spacing w:after="0" w:line="3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191" w:lineRule="exact"/>
        <w:rPr>
          <w:sz w:val="20"/>
          <w:szCs w:val="20"/>
          <w:color w:val="auto"/>
        </w:rPr>
      </w:pPr>
    </w:p>
    <w:p>
      <w:pPr>
        <w:ind w:left="5620"/>
        <w:spacing w:after="0"/>
        <w:tabs>
          <w:tab w:leader="none" w:pos="592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SUSHMA SHIVASWAMY</w:t>
      </w:r>
    </w:p>
    <w:p>
      <w:pPr>
        <w:spacing w:after="0" w:line="19" w:lineRule="exact"/>
        <w:rPr>
          <w:sz w:val="20"/>
          <w:szCs w:val="20"/>
          <w:color w:val="auto"/>
        </w:rPr>
      </w:pPr>
    </w:p>
    <w:p>
      <w:pPr>
        <w:ind w:left="5620"/>
        <w:spacing w:after="0"/>
        <w:tabs>
          <w:tab w:leader="none" w:pos="63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5620"/>
        <w:spacing w:after="0"/>
        <w:tabs>
          <w:tab w:leader="none" w:pos="63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20"/>
          </w:cols>
          <w:pgMar w:left="320" w:top="518" w:right="359" w:bottom="1440" w:gutter="0" w:footer="0" w:header="0"/>
        </w:sectPr>
      </w:pPr>
    </w:p>
    <w:p>
      <w:pPr>
        <w:spacing w:after="0" w:line="1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Signature and Title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91" w:lineRule="exact"/>
        <w:rPr>
          <w:sz w:val="20"/>
          <w:szCs w:val="20"/>
          <w:color w:val="auto"/>
        </w:rPr>
      </w:pPr>
    </w:p>
    <w:p>
      <w:pPr>
        <w:sectPr>
          <w:pgSz w:w="11900" w:h="16838" w:orient="portrait"/>
          <w:cols w:equalWidth="0" w:num="2">
            <w:col w:w="8260" w:space="720"/>
            <w:col w:w="2240"/>
          </w:cols>
          <w:pgMar w:left="320" w:top="518" w:right="359" w:bottom="1440" w:gutter="0" w:footer="0" w:header="0"/>
          <w:type w:val="continuous"/>
        </w:sectPr>
      </w:pPr>
    </w:p>
    <w:p>
      <w:pPr>
        <w:ind w:left="2500"/>
        <w:spacing w:after="0"/>
        <w:tabs>
          <w:tab w:leader="none" w:pos="27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SUSHMA SHIVASWAMY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Sushma Shivaswamy, Chief Executive Officer (Principal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399" w:lineRule="exact"/>
        <w:rPr>
          <w:sz w:val="20"/>
          <w:szCs w:val="20"/>
          <w:color w:val="auto"/>
        </w:rPr>
      </w:pPr>
    </w:p>
    <w:p>
      <w:pPr>
        <w:sectPr>
          <w:pgSz w:w="11900" w:h="16838" w:orient="portrait"/>
          <w:cols w:equalWidth="0" w:num="2">
            <w:col w:w="7920" w:space="720"/>
            <w:col w:w="2580"/>
          </w:cols>
          <w:pgMar w:left="320" w:top="518" w:right="359" w:bottom="1440" w:gutter="0" w:footer="0" w:header="0"/>
          <w:type w:val="continuous"/>
        </w:sectPr>
      </w:pPr>
    </w:p>
    <w:p>
      <w:pPr>
        <w:ind w:left="2900"/>
        <w:spacing w:after="0"/>
        <w:tabs>
          <w:tab w:leader="none" w:pos="31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ANGELA HU</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Angela Hu, Principal Financial Officer and 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399" w:lineRule="exact"/>
        <w:rPr>
          <w:sz w:val="20"/>
          <w:szCs w:val="20"/>
          <w:color w:val="auto"/>
        </w:rPr>
      </w:pPr>
    </w:p>
    <w:p>
      <w:pPr>
        <w:sectPr>
          <w:pgSz w:w="11900" w:h="16838" w:orient="portrait"/>
          <w:cols w:equalWidth="0" w:num="2">
            <w:col w:w="7920" w:space="720"/>
            <w:col w:w="2580"/>
          </w:cols>
          <w:pgMar w:left="320" w:top="518" w:right="35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4"/>
          <w:szCs w:val="14"/>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JOHN SIMARD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42" w:lineRule="exact"/>
        <w:rPr>
          <w:sz w:val="20"/>
          <w:szCs w:val="20"/>
          <w:color w:val="auto"/>
        </w:rPr>
      </w:pPr>
    </w:p>
    <w:p>
      <w:pPr>
        <w:sectPr>
          <w:pgSz w:w="11900" w:h="16838" w:orient="portrait"/>
          <w:cols w:equalWidth="0" w:num="3">
            <w:col w:w="2980" w:space="160"/>
            <w:col w:w="4780" w:space="720"/>
            <w:col w:w="2580"/>
          </w:cols>
          <w:pgMar w:left="320" w:top="5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John Simard, Chairman of the Board</w:t>
      </w:r>
    </w:p>
    <w:p>
      <w:pPr>
        <w:sectPr>
          <w:pgSz w:w="11900" w:h="16838" w:orient="portrait"/>
          <w:cols w:equalWidth="0" w:num="1">
            <w:col w:w="11220"/>
          </w:cols>
          <w:pgMar w:left="320" w:top="518" w:right="359" w:bottom="1440" w:gutter="0" w:footer="0" w:header="0"/>
          <w:type w:val="continuous"/>
        </w:sectPr>
      </w:pPr>
    </w:p>
    <w:p>
      <w:pPr>
        <w:spacing w:after="0" w:line="19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THOMAS KUENDIG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42" w:lineRule="exact"/>
        <w:rPr>
          <w:sz w:val="20"/>
          <w:szCs w:val="20"/>
          <w:color w:val="auto"/>
        </w:rPr>
      </w:pPr>
    </w:p>
    <w:p>
      <w:pPr>
        <w:sectPr>
          <w:pgSz w:w="11900" w:h="16838" w:orient="portrait"/>
          <w:cols w:equalWidth="0" w:num="3">
            <w:col w:w="2800" w:space="160"/>
            <w:col w:w="4960" w:space="720"/>
            <w:col w:w="2580"/>
          </w:cols>
          <w:pgMar w:left="320" w:top="5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Thomas Kuendig, Director</w:t>
      </w:r>
    </w:p>
    <w:p>
      <w:pPr>
        <w:sectPr>
          <w:pgSz w:w="11900" w:h="16838" w:orient="portrait"/>
          <w:cols w:equalWidth="0" w:num="1">
            <w:col w:w="11220"/>
          </w:cols>
          <w:pgMar w:left="320" w:top="518" w:right="359" w:bottom="1440" w:gutter="0" w:footer="0" w:header="0"/>
          <w:type w:val="continuous"/>
        </w:sectPr>
      </w:pPr>
    </w:p>
    <w:p>
      <w:pPr>
        <w:spacing w:after="0" w:line="19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/s/ CRAIG RADEMAKER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42" w:lineRule="exact"/>
        <w:rPr>
          <w:sz w:val="20"/>
          <w:szCs w:val="20"/>
          <w:color w:val="auto"/>
        </w:rPr>
      </w:pPr>
    </w:p>
    <w:p>
      <w:pPr>
        <w:sectPr>
          <w:pgSz w:w="11900" w:h="16838" w:orient="portrait"/>
          <w:cols w:equalWidth="0" w:num="2">
            <w:col w:w="7920" w:space="720"/>
            <w:col w:w="2580"/>
          </w:cols>
          <w:pgMar w:left="320" w:top="5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Craig Rademaker, Director</w:t>
      </w:r>
    </w:p>
    <w:p>
      <w:pPr>
        <w:sectPr>
          <w:pgSz w:w="11900" w:h="16838" w:orient="portrait"/>
          <w:cols w:equalWidth="0" w:num="1">
            <w:col w:w="11220"/>
          </w:cols>
          <w:pgMar w:left="320" w:top="518" w:right="359" w:bottom="1440" w:gutter="0" w:footer="0" w:header="0"/>
          <w:type w:val="continuous"/>
        </w:sectPr>
      </w:pPr>
    </w:p>
    <w:p>
      <w:pPr>
        <w:spacing w:after="0" w:line="19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color w:val="auto"/>
        </w:rPr>
        <w: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TEVI TROY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41" w:lineRule="exact"/>
        <w:rPr>
          <w:sz w:val="20"/>
          <w:szCs w:val="20"/>
          <w:color w:val="auto"/>
        </w:rPr>
      </w:pPr>
    </w:p>
    <w:p>
      <w:pPr>
        <w:sectPr>
          <w:pgSz w:w="11900" w:h="16838" w:orient="portrait"/>
          <w:cols w:equalWidth="0" w:num="3">
            <w:col w:w="3100" w:space="140"/>
            <w:col w:w="4680" w:space="720"/>
            <w:col w:w="2580"/>
          </w:cols>
          <w:pgMar w:left="320" w:top="5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Tevi Troy, Director</w:t>
      </w:r>
    </w:p>
    <w:p>
      <w:pPr>
        <w:sectPr>
          <w:pgSz w:w="11900" w:h="16838" w:orient="portrait"/>
          <w:cols w:equalWidth="0" w:num="1">
            <w:col w:w="11220"/>
          </w:cols>
          <w:pgMar w:left="320" w:top="518" w:right="359" w:bottom="1440" w:gutter="0" w:footer="0" w:header="0"/>
          <w:type w:val="continuous"/>
        </w:sectPr>
      </w:pPr>
    </w:p>
    <w:p>
      <w:pPr>
        <w:spacing w:after="0" w:line="19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SOFFER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2026</w:t>
      </w:r>
    </w:p>
    <w:p>
      <w:pPr>
        <w:spacing w:after="0" w:line="41" w:lineRule="exact"/>
        <w:rPr>
          <w:sz w:val="20"/>
          <w:szCs w:val="20"/>
          <w:color w:val="auto"/>
        </w:rPr>
      </w:pPr>
    </w:p>
    <w:p>
      <w:pPr>
        <w:sectPr>
          <w:pgSz w:w="11900" w:h="16838" w:orient="portrait"/>
          <w:cols w:equalWidth="0" w:num="3">
            <w:col w:w="2960" w:space="160"/>
            <w:col w:w="4800" w:space="720"/>
            <w:col w:w="2580"/>
          </w:cols>
          <w:pgMar w:left="320" w:top="5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David Soffer, Director</w:t>
      </w:r>
    </w:p>
    <w:p>
      <w:pPr>
        <w:sectPr>
          <w:pgSz w:w="11900" w:h="16838" w:orient="portrait"/>
          <w:cols w:equalWidth="0" w:num="1">
            <w:col w:w="11220"/>
          </w:cols>
          <w:pgMar w:left="320" w:top="5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220"/>
          </w:cols>
          <w:pgMar w:left="320" w:top="518" w:right="35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THE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SECURITIES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74" w:lineRule="exact"/>
        <w:rPr>
          <w:sz w:val="20"/>
          <w:szCs w:val="20"/>
          <w:color w:val="auto"/>
        </w:rPr>
      </w:pPr>
    </w:p>
    <w:p>
      <w:pPr>
        <w:ind w:right="320" w:firstLine="404"/>
        <w:spacing w:after="0" w:line="267" w:lineRule="auto"/>
        <w:rPr>
          <w:sz w:val="20"/>
          <w:szCs w:val="20"/>
          <w:color w:val="auto"/>
        </w:rPr>
      </w:pPr>
      <w:r>
        <w:rPr>
          <w:rFonts w:ascii="Times New Roman" w:cs="Times New Roman" w:eastAsia="Times New Roman" w:hAnsi="Times New Roman"/>
          <w:sz w:val="16"/>
          <w:szCs w:val="16"/>
          <w:color w:val="auto"/>
        </w:rPr>
        <w:t>The following summary describes the common shares, no par value, of XBiotech Inc. (the “Company,” “we,” “our,” “us,” and “our”), which are the only securities of the Company registered pursuant to Section 12 of the Securities Exchange Act of 1934, as amended.</w:t>
      </w:r>
    </w:p>
    <w:p>
      <w:pPr>
        <w:spacing w:after="0" w:line="151" w:lineRule="exact"/>
        <w:rPr>
          <w:sz w:val="20"/>
          <w:szCs w:val="20"/>
          <w:color w:val="auto"/>
        </w:rPr>
      </w:pPr>
    </w:p>
    <w:p>
      <w:pPr>
        <w:ind w:right="80" w:firstLine="404"/>
        <w:spacing w:after="0" w:line="255" w:lineRule="auto"/>
        <w:rPr>
          <w:sz w:val="20"/>
          <w:szCs w:val="20"/>
          <w:color w:val="auto"/>
        </w:rPr>
      </w:pPr>
      <w:r>
        <w:rPr>
          <w:rFonts w:ascii="Times New Roman" w:cs="Times New Roman" w:eastAsia="Times New Roman" w:hAnsi="Times New Roman"/>
          <w:sz w:val="16"/>
          <w:szCs w:val="16"/>
          <w:color w:val="auto"/>
        </w:rPr>
        <w:t>The following description is a summary and does not purport to be complete. It is subject to and qualified in its entirety by reference to our Articles, which are incorporated by reference as an exhibit to the Annual Report on Form 10-K of which this Exhibit 4.1 is a part. We encourage you to read our Articles and the applicable provisions of the British Columbia Business Corporations Act (“BCBCA”)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and Outstanding Stock</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authorized share capital as described in our Articles consists of an unlimited number of common shares and preferred shares without par value.</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2025, 30,487,731 shares of the Company’s common shares were outstanding. No preferred shares are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189" w:lineRule="exact"/>
        <w:rPr>
          <w:sz w:val="20"/>
          <w:szCs w:val="20"/>
          <w:color w:val="auto"/>
        </w:rPr>
      </w:pPr>
    </w:p>
    <w:p>
      <w:pPr>
        <w:jc w:val="both"/>
        <w:ind w:right="80" w:firstLine="40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color w:val="auto"/>
        </w:rPr>
        <w:t>. Holders of common shares are entitled to one vote in respect of each common share held at any meeting of the Company. Except as otherwise provided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 to any particular series of preferred shares and except as otherwise required by law, the registered holders of preferred shares shall not be entitled as a class to receive notice of or to attend to vote at any meetings of the Company.</w:t>
      </w:r>
    </w:p>
    <w:p>
      <w:pPr>
        <w:spacing w:after="0" w:line="158" w:lineRule="exact"/>
        <w:rPr>
          <w:sz w:val="20"/>
          <w:szCs w:val="20"/>
          <w:color w:val="auto"/>
        </w:rPr>
      </w:pPr>
    </w:p>
    <w:p>
      <w:pPr>
        <w:ind w:right="140" w:firstLine="404"/>
        <w:spacing w:after="0" w:line="255" w:lineRule="auto"/>
        <w:rPr>
          <w:sz w:val="20"/>
          <w:szCs w:val="20"/>
          <w:color w:val="auto"/>
        </w:rPr>
      </w:pPr>
      <w:r>
        <w:rPr>
          <w:rFonts w:ascii="Times New Roman" w:cs="Times New Roman" w:eastAsia="Times New Roman" w:hAnsi="Times New Roman"/>
          <w:sz w:val="16"/>
          <w:szCs w:val="16"/>
          <w:color w:val="auto"/>
        </w:rPr>
        <w:t>Under our Articles, the holders of our common shares will be entitled to one vote for each common share held on all matters submitted to a vote of the shareholders, including the election of directors. Our Articles do not provide for cumulative voting rights. Because of this, the holders of a plurality of our common shares entitled to vote in any election of directors can elect all of the directors standing for election, if they should so choose.</w:t>
      </w:r>
    </w:p>
    <w:p>
      <w:pPr>
        <w:spacing w:after="0" w:line="158" w:lineRule="exact"/>
        <w:rPr>
          <w:sz w:val="20"/>
          <w:szCs w:val="20"/>
          <w:color w:val="auto"/>
        </w:rPr>
      </w:pPr>
    </w:p>
    <w:p>
      <w:pPr>
        <w:ind w:right="80" w:firstLine="404"/>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Subject to the BCBCA, and subject to the prior rights of any holders of preferred shares, the holders of the common shares in the absolute discretion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shall be entitled to receive, and the Company shall pay thereon, out of moneys of the Company properly applicable to the payment of dividends, when declared by the directors, only such dividends as may be declared from time to time in respect of the common shares. The preferred shares are entitled to preference over the common shares with respect to the payment of dividends. With the exception of the dividend paid in 2021, we have not paid any dividends since our incorporation. At the discretion of our board of directors, we will consider paying dividends in future as our operational circumstances may permit having regard to, among other things, our earnings, cash flow and financial requirements.</w:t>
      </w:r>
    </w:p>
    <w:p>
      <w:pPr>
        <w:spacing w:after="0" w:line="166" w:lineRule="exact"/>
        <w:rPr>
          <w:sz w:val="20"/>
          <w:szCs w:val="20"/>
          <w:color w:val="auto"/>
        </w:rPr>
      </w:pPr>
    </w:p>
    <w:p>
      <w:pPr>
        <w:ind w:right="360" w:firstLine="404"/>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Liquidation Rights</w:t>
      </w:r>
      <w:r>
        <w:rPr>
          <w:rFonts w:ascii="Times New Roman" w:cs="Times New Roman" w:eastAsia="Times New Roman" w:hAnsi="Times New Roman"/>
          <w:sz w:val="16"/>
          <w:szCs w:val="16"/>
          <w:color w:val="auto"/>
        </w:rPr>
        <w:t>. Subject to the prior payment to the holders of the preferred shares described below, in the event of the liquidation, dissolution or winding-up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or other distribution of the assets of the Company among its shareholders, the holders of the shares of our common shares shall be entitled to share pro rata in the distribution of the balance of the assets. The preferred shares shall be entitled to a preference over the common shares with respect to the distribution of assets of the Company, whether voluntary or involuntary, or in the event of any other distribution of assets of the Company among its shareholders for the purpose of winding up its affairs; and the preferred stock may be given such other preference not inconsistent with our Articles.</w:t>
      </w:r>
    </w:p>
    <w:p>
      <w:pPr>
        <w:spacing w:after="0" w:line="162" w:lineRule="exact"/>
        <w:rPr>
          <w:sz w:val="20"/>
          <w:szCs w:val="20"/>
          <w:color w:val="auto"/>
        </w:rPr>
      </w:pPr>
    </w:p>
    <w:p>
      <w:pPr>
        <w:ind w:right="740" w:firstLine="404"/>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Our common shares have no preemptive rights, no conversion rights, no redemption or sinking fund provisions, and are not liable for further call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assessment.</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Listing</w:t>
      </w:r>
      <w:r>
        <w:rPr>
          <w:rFonts w:ascii="Times New Roman" w:cs="Times New Roman" w:eastAsia="Times New Roman" w:hAnsi="Times New Roman"/>
          <w:sz w:val="16"/>
          <w:szCs w:val="16"/>
          <w:color w:val="auto"/>
        </w:rPr>
        <w:t>. Our common shares currently trade on the Nasdaq Global Select Market under the symbol “XBIT.”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324485</wp:posOffset>
            </wp:positionV>
            <wp:extent cx="715073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89" w:lineRule="exact"/>
        <w:rPr>
          <w:sz w:val="20"/>
          <w:szCs w:val="20"/>
          <w:color w:val="auto"/>
        </w:rPr>
      </w:pPr>
    </w:p>
    <w:p>
      <w:pPr>
        <w:ind w:right="560" w:firstLine="404"/>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Certain Takeover Bid Requirements</w:t>
      </w:r>
      <w:r>
        <w:rPr>
          <w:rFonts w:ascii="Times New Roman" w:cs="Times New Roman" w:eastAsia="Times New Roman" w:hAnsi="Times New Roman"/>
          <w:sz w:val="16"/>
          <w:szCs w:val="16"/>
          <w:color w:val="auto"/>
        </w:rPr>
        <w:t>. Unless such offer constitutes an exempt transaction, an offer made by a person, an “offeror”, to acquire outstanding shares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63" w:lineRule="exact"/>
        <w:rPr>
          <w:sz w:val="20"/>
          <w:szCs w:val="20"/>
          <w:color w:val="auto"/>
        </w:rPr>
      </w:pPr>
    </w:p>
    <w:p>
      <w:pPr>
        <w:ind w:right="600" w:firstLine="404"/>
        <w:spacing w:after="0" w:line="267" w:lineRule="auto"/>
        <w:rPr>
          <w:sz w:val="20"/>
          <w:szCs w:val="20"/>
          <w:color w:val="auto"/>
        </w:rPr>
      </w:pPr>
      <w:r>
        <w:rPr>
          <w:rFonts w:ascii="Times New Roman" w:cs="Times New Roman" w:eastAsia="Times New Roman" w:hAnsi="Times New Roman"/>
          <w:sz w:val="16"/>
          <w:szCs w:val="16"/>
          <w:color w:val="auto"/>
        </w:rPr>
        <w:t>In addition to those takeover bid requirements noted above, the acquisition of our shares may trigger the application of statutory regimes including among others, the Investment Canada Act (Canada) and the Competition Act (Canada).</w:t>
      </w:r>
    </w:p>
    <w:p>
      <w:pPr>
        <w:spacing w:after="0" w:line="151" w:lineRule="exact"/>
        <w:rPr>
          <w:sz w:val="20"/>
          <w:szCs w:val="20"/>
          <w:color w:val="auto"/>
        </w:rPr>
      </w:pPr>
    </w:p>
    <w:p>
      <w:pPr>
        <w:ind w:right="20" w:firstLine="404"/>
        <w:spacing w:after="0" w:line="251" w:lineRule="auto"/>
        <w:rPr>
          <w:sz w:val="20"/>
          <w:szCs w:val="20"/>
          <w:color w:val="auto"/>
        </w:rPr>
      </w:pPr>
      <w:r>
        <w:rPr>
          <w:rFonts w:ascii="Times New Roman" w:cs="Times New Roman" w:eastAsia="Times New Roman" w:hAnsi="Times New Roman"/>
          <w:sz w:val="16"/>
          <w:szCs w:val="16"/>
          <w:color w:val="auto"/>
        </w:rPr>
        <w:t>Limitations on the ability to acquire and hold our common shares may be imposed by the Competition Act (Canada). This legislation permits the Commissioner of Competition, or the Commissioner, to review any acquisition of control over or of a significant interest in us. This legislation grants the Commissioner jurisdiction, for up to one year, after any such acquisition, to challenge this type of acquisition before the Canadian Competition Tribunal on the basis that it would, or would be likely to, substantially prevent or lessen competition in any market in Canada.</w:t>
      </w:r>
    </w:p>
    <w:p>
      <w:pPr>
        <w:spacing w:after="0" w:line="164" w:lineRule="exact"/>
        <w:rPr>
          <w:sz w:val="20"/>
          <w:szCs w:val="20"/>
          <w:color w:val="auto"/>
        </w:rPr>
      </w:pPr>
    </w:p>
    <w:p>
      <w:pPr>
        <w:ind w:right="60" w:firstLine="404"/>
        <w:spacing w:after="0" w:line="249" w:lineRule="auto"/>
        <w:rPr>
          <w:sz w:val="20"/>
          <w:szCs w:val="20"/>
          <w:color w:val="auto"/>
        </w:rPr>
      </w:pPr>
      <w:r>
        <w:rPr>
          <w:rFonts w:ascii="Times New Roman" w:cs="Times New Roman" w:eastAsia="Times New Roman" w:hAnsi="Times New Roman"/>
          <w:sz w:val="16"/>
          <w:szCs w:val="16"/>
          <w:color w:val="auto"/>
        </w:rPr>
        <w:t>This legislation also requires any person who intends to acquire our common shares to file a pre-closing notification with the Canadian Competition Bureau if certain financial thresholds are exceeded and if that person (and their affiliates) would hold more than 20% of our common shares. If a person (and its affiliates) already owns 20% or more of our common shares, a notification must be filed when the acquisition of additional shares would bring that person’s holdings to over 50%. Where a notification is required, the legislation prohibits completion of the acquisition until the expiration of a statutory waiting period, unless the Commissioner provides written notice that she does not intend to challenge the acquisition.</w:t>
      </w:r>
    </w:p>
    <w:p>
      <w:pPr>
        <w:spacing w:after="0" w:line="166" w:lineRule="exact"/>
        <w:rPr>
          <w:sz w:val="20"/>
          <w:szCs w:val="20"/>
          <w:color w:val="auto"/>
        </w:rPr>
      </w:pPr>
    </w:p>
    <w:p>
      <w:pPr>
        <w:ind w:firstLine="404"/>
        <w:spacing w:after="0" w:line="247" w:lineRule="auto"/>
        <w:rPr>
          <w:sz w:val="20"/>
          <w:szCs w:val="20"/>
          <w:color w:val="auto"/>
        </w:rPr>
      </w:pPr>
      <w:r>
        <w:rPr>
          <w:rFonts w:ascii="Times New Roman" w:cs="Times New Roman" w:eastAsia="Times New Roman" w:hAnsi="Times New Roman"/>
          <w:sz w:val="16"/>
          <w:szCs w:val="16"/>
          <w:color w:val="auto"/>
        </w:rPr>
        <w:t>The Investment Canada Act requires any person that is a “non-Canadian” (as defined in the Investment Canada Act) who acquires control of an existing Canadian business, where the acquisition of control is not a reviewable transaction, to file a notification with Industry Canada. The Investment Canada Act generally prohibits the implementation of a reviewable transaction unless, after review, the relevant minister is satisfied that the investment is likely to be of net benefit to Canada. Under the Investment Canada Act, the acquisition of control of us (either through the acquisition of our common shares or all or substantially all our assets) by a non-Canadian who is a World Trade Organization member country investor, including a US investor, would be reviewable only if our enterprise value was equal to or greater than a specified amount. Currently, the specified amount for is CAD$600 million, but will eventually increase to CAD$1.0 billion. We believe that we are not a cultural business for Investment Canada Act purposes and that the lower threshold for reviews of acquisitions of such businesses does not apply. The threshold amount is subject to an annual adjustment on the basis of a prescribed formula in the Investment Canada Act to reflect changes in Canadian gross domestic product.</w:t>
      </w:r>
    </w:p>
    <w:p>
      <w:pPr>
        <w:spacing w:after="0" w:line="166" w:lineRule="exact"/>
        <w:rPr>
          <w:sz w:val="20"/>
          <w:szCs w:val="20"/>
          <w:color w:val="auto"/>
        </w:rPr>
      </w:pPr>
    </w:p>
    <w:p>
      <w:pPr>
        <w:ind w:right="220" w:firstLine="404"/>
        <w:spacing w:after="0" w:line="251" w:lineRule="auto"/>
        <w:rPr>
          <w:sz w:val="20"/>
          <w:szCs w:val="20"/>
          <w:color w:val="auto"/>
        </w:rPr>
      </w:pPr>
      <w:r>
        <w:rPr>
          <w:rFonts w:ascii="Times New Roman" w:cs="Times New Roman" w:eastAsia="Times New Roman" w:hAnsi="Times New Roman"/>
          <w:sz w:val="16"/>
          <w:szCs w:val="16"/>
          <w:color w:val="auto"/>
        </w:rPr>
        <w:t>The acquisition of a majority of the voting interests of an entity is deemed to be acquisition of control of that entity. The acquisition of less than a majority but one-third or more of the voting shares of a corporation or an equivalent undivided ownership interest in the voting shares of a corporation is presumed to be an acquisition of 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w:t>
      </w:r>
    </w:p>
    <w:p>
      <w:pPr>
        <w:spacing w:after="0" w:line="164" w:lineRule="exact"/>
        <w:rPr>
          <w:sz w:val="20"/>
          <w:szCs w:val="20"/>
          <w:color w:val="auto"/>
        </w:rPr>
      </w:pPr>
    </w:p>
    <w:p>
      <w:pPr>
        <w:ind w:right="20" w:firstLine="404"/>
        <w:spacing w:after="0" w:line="290" w:lineRule="auto"/>
        <w:rPr>
          <w:sz w:val="20"/>
          <w:szCs w:val="20"/>
          <w:color w:val="auto"/>
        </w:rPr>
      </w:pPr>
      <w:r>
        <w:rPr>
          <w:rFonts w:ascii="Times New Roman" w:cs="Times New Roman" w:eastAsia="Times New Roman" w:hAnsi="Times New Roman"/>
          <w:sz w:val="14"/>
          <w:szCs w:val="14"/>
          <w:color w:val="auto"/>
        </w:rPr>
        <w:t>Under the new national security regime in the Investment Canada Act,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The Minister of Industry has broad discretion to determine whether an investor is a non-Canadian and may be subject to national security review. Review on national security grounds is at the discretion of the federal government and may occur on a pre- or post-closing basis, subject to certain limitation provisions. The government has the power in a national security review to direct that the investment not be implemented, to direct that the investor provide undertakings or the investor implement the investment on prescribed terms or conditions and to order the investor to divest itself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715073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67" w:name="page68"/>
    <w:bookmarkEnd w:id="67"/>
    <w:p>
      <w:pPr>
        <w:ind w:firstLine="404"/>
        <w:spacing w:after="0" w:line="267" w:lineRule="auto"/>
        <w:rPr>
          <w:sz w:val="20"/>
          <w:szCs w:val="20"/>
          <w:color w:val="auto"/>
        </w:rPr>
      </w:pPr>
      <w:r>
        <w:rPr>
          <w:rFonts w:ascii="Times New Roman" w:cs="Times New Roman" w:eastAsia="Times New Roman" w:hAnsi="Times New Roman"/>
          <w:sz w:val="16"/>
          <w:szCs w:val="16"/>
          <w:color w:val="auto"/>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Articles do not contain any change of control limitations with respect to a merger, acquisition or corporate restructuring that involves us.</w:t>
      </w:r>
    </w:p>
    <w:p>
      <w:pPr>
        <w:spacing w:after="0" w:line="189"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6"/>
          <w:szCs w:val="16"/>
          <w:color w:val="auto"/>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spacing w:after="0" w:line="158" w:lineRule="exact"/>
        <w:rPr>
          <w:sz w:val="20"/>
          <w:szCs w:val="20"/>
          <w:color w:val="auto"/>
        </w:rPr>
      </w:pPr>
    </w:p>
    <w:p>
      <w:pPr>
        <w:ind w:right="60" w:firstLine="404"/>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Actions Requiring a Special Majority</w:t>
      </w:r>
      <w:r>
        <w:rPr>
          <w:rFonts w:ascii="Times New Roman" w:cs="Times New Roman" w:eastAsia="Times New Roman" w:hAnsi="Times New Roman"/>
          <w:sz w:val="14"/>
          <w:szCs w:val="14"/>
          <w:color w:val="auto"/>
        </w:rPr>
        <w:t>. Under the BCBCA and our Articles, certain corporate actions require the approval of a special majority of shareholders, meaning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holders of shares representing not less than 66 2⁄3% of those votes cast in respect of a shareholder vote addressing such matter. Subject to the BCBCA, those items requiring the approval of a special majority generally relate to fundamental changes with respect to our business, and include among others, resolutions: (i) to alter its articles or authorized share structure; (ii) to remove a director before the expiry of his or her term; and (iii) to provide for a sale, lease or exchange of all or substantially all of the Company’s property.</w:t>
      </w:r>
    </w:p>
    <w:p>
      <w:pPr>
        <w:spacing w:after="0" w:line="129" w:lineRule="exact"/>
        <w:rPr>
          <w:sz w:val="20"/>
          <w:szCs w:val="20"/>
          <w:color w:val="auto"/>
        </w:rPr>
      </w:pPr>
    </w:p>
    <w:p>
      <w:pPr>
        <w:ind w:right="240" w:firstLine="40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Shareholder Proposals</w:t>
      </w:r>
      <w:r>
        <w:rPr>
          <w:rFonts w:ascii="Times New Roman" w:cs="Times New Roman" w:eastAsia="Times New Roman" w:hAnsi="Times New Roman"/>
          <w:sz w:val="16"/>
          <w:szCs w:val="16"/>
          <w:color w:val="auto"/>
        </w:rPr>
        <w:t>. Under the BCBCA, shareholders may make proposals for matters to be considered at the annual general meeting of shareholders. Such proposals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w:t>
      </w:r>
    </w:p>
    <w:p>
      <w:pPr>
        <w:spacing w:after="0" w:line="156" w:lineRule="exact"/>
        <w:rPr>
          <w:sz w:val="20"/>
          <w:szCs w:val="20"/>
          <w:color w:val="auto"/>
        </w:rPr>
      </w:pPr>
    </w:p>
    <w:p>
      <w:pPr>
        <w:jc w:val="both"/>
        <w:ind w:right="180" w:firstLine="40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Advance Notice Provisions</w:t>
      </w:r>
      <w:r>
        <w:rPr>
          <w:rFonts w:ascii="Times New Roman" w:cs="Times New Roman" w:eastAsia="Times New Roman" w:hAnsi="Times New Roman"/>
          <w:sz w:val="16"/>
          <w:szCs w:val="16"/>
          <w:color w:val="auto"/>
        </w:rPr>
        <w:t>. Our Articles contain provisions (the “Advance Notice Provisions”) which provide that advance notice to the Company must be made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procedures set out in the Articles must be followed for persons to be eligible for election to the our board of directors. Nomination of persons for election to the board of directors may only be made at an annual meeting of shareholders or at a special meeting of shareholders called for any purpose which includes the election of directors.</w:t>
      </w:r>
    </w:p>
    <w:p>
      <w:pPr>
        <w:spacing w:after="0" w:line="158" w:lineRule="exact"/>
        <w:rPr>
          <w:sz w:val="20"/>
          <w:szCs w:val="20"/>
          <w:color w:val="auto"/>
        </w:rPr>
      </w:pPr>
    </w:p>
    <w:p>
      <w:pPr>
        <w:jc w:val="both"/>
        <w:ind w:right="120" w:firstLine="404"/>
        <w:spacing w:after="0" w:line="309" w:lineRule="auto"/>
        <w:rPr>
          <w:sz w:val="20"/>
          <w:szCs w:val="20"/>
          <w:color w:val="auto"/>
        </w:rPr>
      </w:pPr>
      <w:r>
        <w:rPr>
          <w:rFonts w:ascii="Times New Roman" w:cs="Times New Roman" w:eastAsia="Times New Roman" w:hAnsi="Times New Roman"/>
          <w:sz w:val="14"/>
          <w:szCs w:val="14"/>
          <w:color w:val="auto"/>
        </w:rPr>
        <w:t>Among other things, the Advance Notice Provisions fix a deadline by which holders of record of common shares must submit director nominations to us prior to any annual or special meeting of shareholders and set forth the specific information that a shareholder must include in the written notice to the Company for an effective nomination to occur. No person will be eligible for election as a director of the Company unless nominated in accordance with the provisions of the Advance Notice Provisions.</w:t>
      </w:r>
    </w:p>
    <w:p>
      <w:pPr>
        <w:spacing w:after="0" w:line="125" w:lineRule="exact"/>
        <w:rPr>
          <w:sz w:val="20"/>
          <w:szCs w:val="20"/>
          <w:color w:val="auto"/>
        </w:rPr>
      </w:pPr>
    </w:p>
    <w:p>
      <w:pPr>
        <w:ind w:right="60" w:firstLine="404"/>
        <w:spacing w:after="0" w:line="249" w:lineRule="auto"/>
        <w:rPr>
          <w:sz w:val="20"/>
          <w:szCs w:val="20"/>
          <w:color w:val="auto"/>
        </w:rPr>
      </w:pPr>
      <w:r>
        <w:rPr>
          <w:rFonts w:ascii="Times New Roman" w:cs="Times New Roman" w:eastAsia="Times New Roman" w:hAnsi="Times New Roman"/>
          <w:sz w:val="16"/>
          <w:szCs w:val="16"/>
          <w:color w:val="auto"/>
        </w:rPr>
        <w:t>In the case of an annual meeting of shareholders, notice to us must be made not less than 30 or more than 65 days prior to the date of the annual meeting; provided, however, that if the annual meeting is to be held on a date that is less than 50 days after the date on which the first public announcement of the date of the annual meeting was made, notice may be made not later than the close of business on the 10th day following such public announcement. In the case of a special meeting of shareholders (which is not also an annual meeting), notice to us must be made not later than the close of business on the 15th day following the day on which the first public announcement of the date of the special meeting was made.</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board of directors may, in its sole discretion, waive any requirement of the Advance Notice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subject to the provisions of Part 5, Division 5 of the BCBCA. Under Section 160 of the BCBCA, we may, subject to Section 163 of the BCBCA:</w:t>
      </w:r>
    </w:p>
    <w:p>
      <w:pPr>
        <w:spacing w:after="0" w:line="189" w:lineRule="exact"/>
        <w:rPr>
          <w:sz w:val="20"/>
          <w:szCs w:val="20"/>
          <w:color w:val="auto"/>
        </w:rPr>
      </w:pPr>
    </w:p>
    <w:p>
      <w:pPr>
        <w:ind w:left="700" w:hanging="287"/>
        <w:spacing w:after="0"/>
        <w:tabs>
          <w:tab w:leader="none" w:pos="7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indemnify an individual who:</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was a director or officer of the Company;</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was a director or officer of another corporation (i) at a time when such corporation is or was an affiliate of the Company; or (ii) at the Company’s request, or</w:t>
      </w:r>
    </w:p>
    <w:p>
      <w:pPr>
        <w:spacing w:after="0" w:line="235" w:lineRule="exact"/>
        <w:rPr>
          <w:rFonts w:ascii="Times New Roman" w:cs="Times New Roman" w:eastAsia="Times New Roman" w:hAnsi="Times New Roman"/>
          <w:sz w:val="14"/>
          <w:szCs w:val="14"/>
          <w:color w:val="auto"/>
        </w:rPr>
      </w:pPr>
    </w:p>
    <w:p>
      <w:pPr>
        <w:ind w:left="980" w:right="40" w:hanging="286"/>
        <w:spacing w:after="0" w:line="255" w:lineRule="auto"/>
        <w:tabs>
          <w:tab w:leader="none" w:pos="98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Company’s request, is or was, or holds or held a position equivalent to that of, a director or officer of a partnership, trust, joint venture or other unincorporated entity, and including, subject to certain limited exceptions, the heirs and personal or other legal representatives of that individual (collectively, an “eligible party”), against all eligible penalties to which the eligible party is or may be liable;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15073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8" w:name="page69"/>
    <w:bookmarkEnd w:id="68"/>
    <w:p>
      <w:pPr>
        <w:ind w:left="700" w:hanging="287"/>
        <w:spacing w:after="0"/>
        <w:tabs>
          <w:tab w:leader="none" w:pos="7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final disposition of an eligible proceeding, pay the expenses actually and reasonably incurred by an eligible party in respect of that proceeding, where:</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“eligible penalty” means a judgment, penalty or fine awarded or imposed in, or an amount paid in settlement of, and eligible proceeding.</w:t>
      </w:r>
    </w:p>
    <w:p>
      <w:pPr>
        <w:spacing w:after="0" w:line="212" w:lineRule="exact"/>
        <w:rPr>
          <w:rFonts w:ascii="Times New Roman" w:cs="Times New Roman" w:eastAsia="Times New Roman" w:hAnsi="Times New Roman"/>
          <w:sz w:val="16"/>
          <w:szCs w:val="16"/>
          <w:color w:val="auto"/>
        </w:rPr>
      </w:pPr>
    </w:p>
    <w:p>
      <w:pPr>
        <w:ind w:left="980" w:right="100" w:hanging="286"/>
        <w:spacing w:after="0" w:line="251" w:lineRule="auto"/>
        <w:tabs>
          <w:tab w:leader="none" w:pos="9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Company or an associated corporation (i) is or may be joined as a party, or (ii) is or may be liable for or in respect of a judgment, penalty or fine in, or expenses related to, the proceeding.</w:t>
      </w:r>
    </w:p>
    <w:p>
      <w:pPr>
        <w:spacing w:after="0" w:line="163"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“proceeding” includes any legal proceeding or investigative action, whether current, threatened , pending or completed.</w:t>
      </w:r>
    </w:p>
    <w:p>
      <w:pPr>
        <w:spacing w:after="0" w:line="213" w:lineRule="exact"/>
        <w:rPr>
          <w:sz w:val="20"/>
          <w:szCs w:val="20"/>
          <w:color w:val="auto"/>
        </w:rPr>
      </w:pPr>
    </w:p>
    <w:p>
      <w:pPr>
        <w:ind w:right="100" w:firstLine="404"/>
        <w:spacing w:after="0" w:line="255" w:lineRule="auto"/>
        <w:rPr>
          <w:sz w:val="20"/>
          <w:szCs w:val="20"/>
          <w:color w:val="auto"/>
        </w:rPr>
      </w:pPr>
      <w:r>
        <w:rPr>
          <w:rFonts w:ascii="Times New Roman" w:cs="Times New Roman" w:eastAsia="Times New Roman" w:hAnsi="Times New Roman"/>
          <w:sz w:val="16"/>
          <w:szCs w:val="16"/>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(i) has not been reimbursed for those expenses, and (ii) is wholly successful, on the merits or otherwise, in the outcome of the proceeding or is substantially successful on the merits in the outcome of the proceeding.</w:t>
      </w:r>
    </w:p>
    <w:p>
      <w:pPr>
        <w:spacing w:after="0" w:line="160" w:lineRule="exact"/>
        <w:rPr>
          <w:sz w:val="20"/>
          <w:szCs w:val="20"/>
          <w:color w:val="auto"/>
        </w:rPr>
      </w:pPr>
    </w:p>
    <w:p>
      <w:pPr>
        <w:ind w:right="140" w:firstLine="404"/>
        <w:spacing w:after="0" w:line="251" w:lineRule="auto"/>
        <w:rPr>
          <w:sz w:val="20"/>
          <w:szCs w:val="20"/>
          <w:color w:val="auto"/>
        </w:rPr>
      </w:pPr>
      <w:r>
        <w:rPr>
          <w:rFonts w:ascii="Times New Roman" w:cs="Times New Roman" w:eastAsia="Times New Roman" w:hAnsi="Times New Roman"/>
          <w:sz w:val="16"/>
          <w:szCs w:val="16"/>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the Company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64" w:lineRule="exact"/>
        <w:rPr>
          <w:sz w:val="20"/>
          <w:szCs w:val="20"/>
          <w:color w:val="auto"/>
        </w:rPr>
      </w:pPr>
    </w:p>
    <w:p>
      <w:pPr>
        <w:ind w:right="100" w:firstLine="404"/>
        <w:spacing w:after="0" w:line="267" w:lineRule="auto"/>
        <w:rPr>
          <w:sz w:val="20"/>
          <w:szCs w:val="20"/>
          <w:color w:val="auto"/>
        </w:rPr>
      </w:pPr>
      <w:r>
        <w:rPr>
          <w:rFonts w:ascii="Times New Roman" w:cs="Times New Roman" w:eastAsia="Times New Roman" w:hAnsi="Times New Roman"/>
          <w:sz w:val="16"/>
          <w:szCs w:val="16"/>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151" w:lineRule="exact"/>
        <w:rPr>
          <w:sz w:val="20"/>
          <w:szCs w:val="20"/>
          <w:color w:val="auto"/>
        </w:rPr>
      </w:pPr>
    </w:p>
    <w:p>
      <w:pPr>
        <w:ind w:left="980" w:right="100" w:hanging="286"/>
        <w:spacing w:after="0" w:line="267"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indemnity or payment is made under an earlier agreement to indemnify or pay expenses and, at the time that the agreement to indemnify or pay expenses was made, the Company was prohibited from giving the indemnity or paying the expenses by the Company’s memorandum or Articles;</w:t>
      </w:r>
    </w:p>
    <w:p>
      <w:pPr>
        <w:spacing w:after="0" w:line="150" w:lineRule="exact"/>
        <w:rPr>
          <w:rFonts w:ascii="Times New Roman" w:cs="Times New Roman" w:eastAsia="Times New Roman" w:hAnsi="Times New Roman"/>
          <w:sz w:val="16"/>
          <w:szCs w:val="16"/>
          <w:color w:val="auto"/>
        </w:rPr>
      </w:pPr>
    </w:p>
    <w:p>
      <w:pPr>
        <w:ind w:left="980" w:right="20" w:hanging="286"/>
        <w:spacing w:after="0" w:line="267"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indemnity or payment is made otherwise than under an earlier agreement to indemnify or pay expenses and, at the time that the indemnity or payment is made, the Company is prohibited from giving the indemnity or paying the expenses by the Company’s memorandum or Articles;</w:t>
      </w:r>
    </w:p>
    <w:p>
      <w:pPr>
        <w:spacing w:after="0" w:line="150" w:lineRule="exact"/>
        <w:rPr>
          <w:rFonts w:ascii="Times New Roman" w:cs="Times New Roman" w:eastAsia="Times New Roman" w:hAnsi="Times New Roman"/>
          <w:sz w:val="16"/>
          <w:szCs w:val="16"/>
          <w:color w:val="auto"/>
        </w:rPr>
      </w:pPr>
    </w:p>
    <w:p>
      <w:pPr>
        <w:ind w:left="980" w:hanging="286"/>
        <w:spacing w:after="0" w:line="267"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relation to the subject matter of the eligible proceeding, the eligible party did not act honestly and in good faith with a view to the best interests of the Company or the associated corporation, as the case may be; or</w:t>
      </w:r>
    </w:p>
    <w:p>
      <w:pPr>
        <w:spacing w:after="0" w:line="150" w:lineRule="exact"/>
        <w:rPr>
          <w:rFonts w:ascii="Times New Roman" w:cs="Times New Roman" w:eastAsia="Times New Roman" w:hAnsi="Times New Roman"/>
          <w:sz w:val="16"/>
          <w:szCs w:val="16"/>
          <w:color w:val="auto"/>
        </w:rPr>
      </w:pPr>
    </w:p>
    <w:p>
      <w:pPr>
        <w:ind w:left="980" w:right="40" w:hanging="286"/>
        <w:spacing w:after="0" w:line="267"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51" w:lineRule="exact"/>
        <w:rPr>
          <w:sz w:val="20"/>
          <w:szCs w:val="20"/>
          <w:color w:val="auto"/>
        </w:rPr>
      </w:pPr>
    </w:p>
    <w:p>
      <w:pPr>
        <w:jc w:val="both"/>
        <w:ind w:right="20" w:firstLine="404"/>
        <w:spacing w:after="0" w:line="255" w:lineRule="auto"/>
        <w:rPr>
          <w:sz w:val="20"/>
          <w:szCs w:val="20"/>
          <w:color w:val="auto"/>
        </w:rPr>
      </w:pPr>
      <w:r>
        <w:rPr>
          <w:rFonts w:ascii="Times New Roman" w:cs="Times New Roman" w:eastAsia="Times New Roman" w:hAnsi="Times New Roman"/>
          <w:sz w:val="16"/>
          <w:szCs w:val="16"/>
          <w:color w:val="auto"/>
        </w:rPr>
        <w:t>If an eligible proceeding is brought against an eligible party by or on behalf of the Company or by or on behalf of an associated corporation, we must not either indemnify the eligible party against eligible penalties to which the eligible party is or may be liable, or pay the expenses of the eligible party under Sections 160, 161 or 162 of the BCBCA, as the case may be, in respect of the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15073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9" w:name="page70"/>
    <w:bookmarkEnd w:id="69"/>
    <w:p>
      <w:pPr>
        <w:ind w:right="100" w:firstLine="404"/>
        <w:spacing w:after="0" w:line="255" w:lineRule="auto"/>
        <w:rPr>
          <w:sz w:val="20"/>
          <w:szCs w:val="20"/>
          <w:color w:val="auto"/>
        </w:rPr>
      </w:pPr>
      <w:r>
        <w:rPr>
          <w:rFonts w:ascii="Times New Roman" w:cs="Times New Roman" w:eastAsia="Times New Roman" w:hAnsi="Times New Roman"/>
          <w:sz w:val="16"/>
          <w:szCs w:val="16"/>
          <w:color w:val="auto"/>
        </w:rPr>
        <w:t>Under Section 164 of the BCBCA, and despite any other provision of Part 5, Division 5 of the BCBCA and whether or not payment of expenses or indemnification has been sought, authorized or declined under Part 5, Division 5 of the BCBCA, on application of the Company or an eligible party, the Supreme Court of British Columbia may do one or more of the following:</w:t>
      </w:r>
    </w:p>
    <w:p>
      <w:pPr>
        <w:spacing w:after="0" w:line="160" w:lineRule="exact"/>
        <w:rPr>
          <w:sz w:val="20"/>
          <w:szCs w:val="20"/>
          <w:color w:val="auto"/>
        </w:rPr>
      </w:pPr>
    </w:p>
    <w:p>
      <w:pPr>
        <w:ind w:left="980" w:hanging="286"/>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 us to indemnify an eligible party against any liability incurred by the eligible party in respect of an eligible proceeding;</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 us to pay some or all of the expenses incurred by an eligible party in respect of an eligible proceeding;</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 the enforcement of, or payment under, an agreement of indemnification entered into by us;</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 us to pay some or all of the expenses actually and reasonably incurred by any person in obtaining an order under Section 164 of the BCBCA; or</w:t>
      </w:r>
    </w:p>
    <w:p>
      <w:pPr>
        <w:spacing w:after="0" w:line="212" w:lineRule="exact"/>
        <w:rPr>
          <w:rFonts w:ascii="Times New Roman" w:cs="Times New Roman" w:eastAsia="Times New Roman" w:hAnsi="Times New Roman"/>
          <w:sz w:val="16"/>
          <w:szCs w:val="16"/>
          <w:color w:val="auto"/>
        </w:rPr>
      </w:pPr>
    </w:p>
    <w:p>
      <w:pPr>
        <w:ind w:left="980" w:hanging="286"/>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other order the court considers appropriate.</w:t>
      </w:r>
    </w:p>
    <w:p>
      <w:pPr>
        <w:spacing w:after="0" w:line="213" w:lineRule="exact"/>
        <w:rPr>
          <w:sz w:val="20"/>
          <w:szCs w:val="20"/>
          <w:color w:val="auto"/>
        </w:rPr>
      </w:pPr>
    </w:p>
    <w:p>
      <w:pPr>
        <w:ind w:right="140" w:firstLine="404"/>
        <w:spacing w:after="0" w:line="255" w:lineRule="auto"/>
        <w:rPr>
          <w:sz w:val="20"/>
          <w:szCs w:val="20"/>
          <w:color w:val="auto"/>
        </w:rPr>
      </w:pPr>
      <w:r>
        <w:rPr>
          <w:rFonts w:ascii="Times New Roman" w:cs="Times New Roman" w:eastAsia="Times New Roman" w:hAnsi="Times New Roman"/>
          <w:sz w:val="16"/>
          <w:szCs w:val="16"/>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Company or an associated corporation.</w:t>
      </w:r>
    </w:p>
    <w:p>
      <w:pPr>
        <w:spacing w:after="0" w:line="160"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6"/>
          <w:szCs w:val="16"/>
          <w:color w:val="auto"/>
        </w:rPr>
        <w:t>Under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Company on the terms of the indemnity contained in the Articles.</w:t>
      </w:r>
    </w:p>
    <w:p>
      <w:pPr>
        <w:spacing w:after="0" w:line="160" w:lineRule="exact"/>
        <w:rPr>
          <w:sz w:val="20"/>
          <w:szCs w:val="20"/>
          <w:color w:val="auto"/>
        </w:rPr>
      </w:pPr>
    </w:p>
    <w:p>
      <w:pPr>
        <w:ind w:right="320" w:firstLine="404"/>
        <w:spacing w:after="0" w:line="267" w:lineRule="auto"/>
        <w:rPr>
          <w:sz w:val="20"/>
          <w:szCs w:val="20"/>
          <w:color w:val="auto"/>
        </w:rPr>
      </w:pPr>
      <w:r>
        <w:rPr>
          <w:rFonts w:ascii="Times New Roman" w:cs="Times New Roman" w:eastAsia="Times New Roman" w:hAnsi="Times New Roman"/>
          <w:sz w:val="16"/>
          <w:szCs w:val="16"/>
          <w:color w:val="auto"/>
        </w:rPr>
        <w:t>Under our Articles, and subject to the BCBCA, we may agree to indemnify and may indemnify any person (including an eligible party) against eligible penalties and pay expenses incurred in connection with the performance of services by that person for us.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Under our Articles, and subject to the BCBCA, we may advance expenses to an eligible party.</w:t>
      </w:r>
    </w:p>
    <w:p>
      <w:pPr>
        <w:spacing w:after="0" w:line="189" w:lineRule="exact"/>
        <w:rPr>
          <w:sz w:val="20"/>
          <w:szCs w:val="20"/>
          <w:color w:val="auto"/>
        </w:rPr>
      </w:pPr>
    </w:p>
    <w:p>
      <w:pPr>
        <w:ind w:right="160" w:firstLine="404"/>
        <w:spacing w:after="0" w:line="267" w:lineRule="auto"/>
        <w:rPr>
          <w:sz w:val="20"/>
          <w:szCs w:val="20"/>
          <w:color w:val="auto"/>
        </w:rPr>
      </w:pPr>
      <w:r>
        <w:rPr>
          <w:rFonts w:ascii="Times New Roman" w:cs="Times New Roman" w:eastAsia="Times New Roman" w:hAnsi="Times New Roman"/>
          <w:sz w:val="16"/>
          <w:szCs w:val="16"/>
          <w:color w:val="auto"/>
        </w:rPr>
        <w:t>Pursuant to our Articles, the failure of an eligible party to comply with the BCBCA or the Articles does not, of itself, invalidate any indemnity to which he or she is entitled under the Articles.</w:t>
      </w:r>
    </w:p>
    <w:p>
      <w:pPr>
        <w:spacing w:after="0" w:line="151" w:lineRule="exact"/>
        <w:rPr>
          <w:sz w:val="20"/>
          <w:szCs w:val="20"/>
          <w:color w:val="auto"/>
        </w:rPr>
      </w:pPr>
    </w:p>
    <w:p>
      <w:pPr>
        <w:ind w:right="260" w:firstLine="404"/>
        <w:spacing w:after="0" w:line="267" w:lineRule="auto"/>
        <w:rPr>
          <w:sz w:val="20"/>
          <w:szCs w:val="20"/>
          <w:color w:val="auto"/>
        </w:rPr>
      </w:pPr>
      <w:r>
        <w:rPr>
          <w:rFonts w:ascii="Times New Roman" w:cs="Times New Roman" w:eastAsia="Times New Roman" w:hAnsi="Times New Roman"/>
          <w:sz w:val="16"/>
          <w:szCs w:val="16"/>
          <w:color w:val="auto"/>
        </w:rPr>
        <w:t>Under our Articles, we may purchase and maintain insurance for the benefit of an eligible person (or his or her heirs or legal personal representatives) against any liability incurred by him or her as a director, officer or person who holds or held such equivalent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91" w:lineRule="exact"/>
        <w:rPr>
          <w:sz w:val="20"/>
          <w:szCs w:val="20"/>
          <w:color w:val="auto"/>
        </w:rPr>
      </w:pPr>
    </w:p>
    <w:p>
      <w:pPr>
        <w:ind w:right="100" w:firstLine="404"/>
        <w:spacing w:after="0" w:line="267" w:lineRule="auto"/>
        <w:rPr>
          <w:sz w:val="20"/>
          <w:szCs w:val="20"/>
          <w:color w:val="auto"/>
        </w:rPr>
      </w:pPr>
      <w:r>
        <w:rPr>
          <w:rFonts w:ascii="Times New Roman" w:cs="Times New Roman" w:eastAsia="Times New Roman" w:hAnsi="Times New Roman"/>
          <w:sz w:val="16"/>
          <w:szCs w:val="16"/>
          <w:color w:val="auto"/>
        </w:rPr>
        <w:t>The Transfer Agent and Registrar for shares of our common shares is American Stock Transfer &amp; Trust Company, LLC (“AST”). The address for AST is 6201 15th Avenue, Brooklyn, New York 11219 and its telephone number is (718) 921-8206.</w:t>
      </w:r>
    </w:p>
    <w:p>
      <w:pPr>
        <w:sectPr>
          <w:pgSz w:w="11900" w:h="16838" w:orient="portrait"/>
          <w:cols w:equalWidth="0" w:num="1">
            <w:col w:w="11240"/>
          </w:cols>
          <w:pgMar w:left="320" w:top="52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1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Board Member Agreement</w:t>
      </w:r>
    </w:p>
    <w:p>
      <w:pPr>
        <w:spacing w:after="0" w:line="189"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This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dated as of the </w:t>
      </w:r>
      <w:r>
        <w:rPr>
          <w:rFonts w:ascii="Times New Roman" w:cs="Times New Roman" w:eastAsia="Times New Roman" w:hAnsi="Times New Roman"/>
          <w:sz w:val="16"/>
          <w:szCs w:val="16"/>
          <w:u w:val="single" w:color="auto"/>
          <w:color w:val="auto"/>
        </w:rPr>
        <w:t>29th</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_August_</w:t>
      </w:r>
      <w:r>
        <w:rPr>
          <w:rFonts w:ascii="Times New Roman" w:cs="Times New Roman" w:eastAsia="Times New Roman" w:hAnsi="Times New Roman"/>
          <w:sz w:val="16"/>
          <w:szCs w:val="16"/>
          <w:color w:val="auto"/>
        </w:rPr>
        <w:t xml:space="preserve"> 2025, is between, </w:t>
      </w:r>
      <w:r>
        <w:rPr>
          <w:rFonts w:ascii="Times New Roman" w:cs="Times New Roman" w:eastAsia="Times New Roman" w:hAnsi="Times New Roman"/>
          <w:sz w:val="16"/>
          <w:szCs w:val="16"/>
          <w:u w:val="single" w:color="auto"/>
          <w:color w:val="auto"/>
        </w:rPr>
        <w:t>Craig Rademaker</w:t>
      </w:r>
      <w:r>
        <w:rPr>
          <w:rFonts w:ascii="Times New Roman" w:cs="Times New Roman" w:eastAsia="Times New Roman" w:hAnsi="Times New Roman"/>
          <w:sz w:val="16"/>
          <w:szCs w:val="16"/>
          <w:color w:val="auto"/>
        </w:rPr>
        <w:t>, an individual having a residence at 11-3085 Deer Ridge Close, West Vancouver, Canada, (the “</w:t>
      </w:r>
      <w:r>
        <w:rPr>
          <w:rFonts w:ascii="Times New Roman" w:cs="Times New Roman" w:eastAsia="Times New Roman" w:hAnsi="Times New Roman"/>
          <w:sz w:val="16"/>
          <w:szCs w:val="16"/>
          <w:u w:val="single" w:color="auto"/>
          <w:color w:val="auto"/>
        </w:rPr>
        <w:t>Board Director</w:t>
      </w:r>
      <w:r>
        <w:rPr>
          <w:rFonts w:ascii="Times New Roman" w:cs="Times New Roman" w:eastAsia="Times New Roman" w:hAnsi="Times New Roman"/>
          <w:sz w:val="16"/>
          <w:szCs w:val="16"/>
          <w:color w:val="auto"/>
        </w:rPr>
        <w:t>”), and XBiotech Inc., a Canadian corporation with a place of business at 300-1055 West Hastings Street, Vancouver BC V6E 2E9 Canada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enter into this Agreement setting forth the terms and conditions of the Board Director with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89" w:lineRule="exact"/>
        <w:rPr>
          <w:sz w:val="20"/>
          <w:szCs w:val="20"/>
          <w:color w:val="auto"/>
        </w:rPr>
      </w:pPr>
    </w:p>
    <w:p>
      <w:pPr>
        <w:ind w:left="840" w:right="80" w:hanging="286"/>
        <w:spacing w:after="0" w:line="267" w:lineRule="auto"/>
        <w:tabs>
          <w:tab w:leader="none" w:pos="8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 effective as of the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upon which the Board Director becomes a duly elected or appointed member of the Board of Directors of the Company (the “Board”).</w:t>
      </w:r>
    </w:p>
    <w:p>
      <w:pPr>
        <w:spacing w:after="0" w:line="150" w:lineRule="exact"/>
        <w:rPr>
          <w:rFonts w:ascii="Times New Roman" w:cs="Times New Roman" w:eastAsia="Times New Roman" w:hAnsi="Times New Roman"/>
          <w:sz w:val="16"/>
          <w:szCs w:val="16"/>
          <w:color w:val="auto"/>
        </w:rPr>
      </w:pPr>
    </w:p>
    <w:p>
      <w:pPr>
        <w:ind w:left="840" w:right="280" w:hanging="286"/>
        <w:spacing w:after="0" w:line="267" w:lineRule="auto"/>
        <w:tabs>
          <w:tab w:leader="none" w:pos="8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commence on the Effective Date and shall remain in effect until such time as the Board Director resigns, is removed, dies or otherwise ceases to be a member of the Board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w:t>
      </w:r>
    </w:p>
    <w:p>
      <w:pPr>
        <w:spacing w:after="0" w:line="150" w:lineRule="exact"/>
        <w:rPr>
          <w:rFonts w:ascii="Times New Roman" w:cs="Times New Roman" w:eastAsia="Times New Roman" w:hAnsi="Times New Roman"/>
          <w:sz w:val="16"/>
          <w:szCs w:val="16"/>
          <w:color w:val="auto"/>
        </w:rPr>
      </w:pPr>
    </w:p>
    <w:p>
      <w:pPr>
        <w:ind w:left="840" w:hanging="286"/>
        <w:spacing w:after="0"/>
        <w:tabs>
          <w:tab w:leader="none" w:pos="8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During the Term, the Board Director shall act as a member of the Board (a “Board Member”) to the Company.</w:t>
      </w:r>
    </w:p>
    <w:p>
      <w:pPr>
        <w:spacing w:after="0" w:line="212" w:lineRule="exact"/>
        <w:rPr>
          <w:rFonts w:ascii="Times New Roman" w:cs="Times New Roman" w:eastAsia="Times New Roman" w:hAnsi="Times New Roman"/>
          <w:sz w:val="16"/>
          <w:szCs w:val="16"/>
          <w:color w:val="auto"/>
        </w:rPr>
      </w:pPr>
    </w:p>
    <w:p>
      <w:pPr>
        <w:ind w:left="840" w:right="100" w:hanging="286"/>
        <w:spacing w:after="0" w:line="249" w:lineRule="auto"/>
        <w:tabs>
          <w:tab w:leader="none" w:pos="8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 and Reporting Relationship</w:t>
      </w:r>
      <w:r>
        <w:rPr>
          <w:rFonts w:ascii="Times New Roman" w:cs="Times New Roman" w:eastAsia="Times New Roman" w:hAnsi="Times New Roman"/>
          <w:sz w:val="16"/>
          <w:szCs w:val="16"/>
          <w:color w:val="auto"/>
        </w:rPr>
        <w:t>. During the Term, the Board Director shall be generally available for mutually agreed times during business hours. The Board Director agrees that he shall represent the Company as a Board Member. Such representations may be made by the Company in SEC filings, during Presentations, Business Plans, on the Company Website, or any other place deemed fit by the Company. The Company may request that you participate in discussions, as suitable to your schedule and availability, with third parties from time to time. The Board Director may be asked to serve as a member and/or as chair of one or more committees of the Board.</w:t>
      </w:r>
    </w:p>
    <w:p>
      <w:pPr>
        <w:spacing w:after="0" w:line="165" w:lineRule="exact"/>
        <w:rPr>
          <w:rFonts w:ascii="Times New Roman" w:cs="Times New Roman" w:eastAsia="Times New Roman" w:hAnsi="Times New Roman"/>
          <w:sz w:val="16"/>
          <w:szCs w:val="16"/>
          <w:color w:val="auto"/>
        </w:rPr>
      </w:pPr>
    </w:p>
    <w:p>
      <w:pPr>
        <w:ind w:left="840" w:right="20" w:hanging="286"/>
        <w:spacing w:after="0" w:line="282" w:lineRule="auto"/>
        <w:tabs>
          <w:tab w:leader="none" w:pos="8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 Subject to Board of Directors or Compensation Committee approval during each year of service, Board Director shall receive an annual cash retainer of $70,000, with additional annual retainers of $30,000 for service as a Committee Chair and $20,000 for service as a Committee Member. The Board Director shall serve as Chair of Nominating &amp; Governance Committee and as member of Audit Committee and Compensation Committee and shall receive a total annual retainer of $140,000, prorated based on the Board Director’s period of service during the fiscal year and subject to adjustment from time to time by the Compensation Committee. In addition, Board Director will be granted non-qualified stock options under the Company’s 2025 Equity Incentive Plan (the “Plan”) to purchase 92,104 shares of the Company’s common stock, representing a prorated portion of the annual grant for the year 2025. During Board Director’s service as a Board Member in years following 2025, subject to Board of Directors or Compensation Committee approval during each year of service, the Board Director will be granted 40,000 options annually, with additional 16,000 for service as a Committee Chair and 11,000 for service as a Committee Member on or about the date of the Company’s annual stockholders meeting. All granted options will be exercisable at a price equal to the closing price of the Company’s common stock, as reported by NASDAQ, on the date of grant, and vest in 12 months following the date of grant, subject to continued service as a Board Member (the “Options”). The Options shall expire ten years from the date of grant, unless terminated earlier in accordance with the Plan or the Board Director’s stock option agreement. In accordance with the Plan, the Options will remain exercisable for 90 days after the date of the Board Director’s termination without cause or resignation. The Board Director’s compensation for service as a Committee Chair, Committee Member, or Board Director (collectively, “Board Service”), including but not limited to time spent preparing for or attending Board or Committee meetings, shall be limited to the annual retainer payments and equity grants set forth in the prior sentences of Paragraph 5. Notwithstanding the foregoing, nothing herein shall limit the Board of Directors or Compensation Committee from approving additional compensation for Board Director if the Board of Directors or Compensation Committee determines that such additional compensation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715073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ind w:left="286" w:right="100" w:hanging="286"/>
        <w:spacing w:after="0" w:line="251"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Expense</w:t>
      </w:r>
      <w:r>
        <w:rPr>
          <w:rFonts w:ascii="Times New Roman" w:cs="Times New Roman" w:eastAsia="Times New Roman" w:hAnsi="Times New Roman"/>
          <w:sz w:val="16"/>
          <w:szCs w:val="16"/>
          <w:color w:val="auto"/>
        </w:rPr>
        <w:t>. The Board Director shall be reimbursed for all ordinary and necessary business expenses incurred by the Board Director in connection with his agreement upon timely submission to the Company of receipts and other documentation as required by the Internal Revenue Code of 1986, as amended, and in conformance with the Company’s normal expense reimbursement policies and procedures. Board Director shall be entitled to reimbursement at first class commercial airline rate for transcontinental travel.</w:t>
      </w:r>
    </w:p>
    <w:p>
      <w:pPr>
        <w:spacing w:after="0" w:line="350" w:lineRule="exact"/>
        <w:rPr>
          <w:rFonts w:ascii="Times New Roman" w:cs="Times New Roman" w:eastAsia="Times New Roman" w:hAnsi="Times New Roman"/>
          <w:sz w:val="16"/>
          <w:szCs w:val="16"/>
          <w:color w:val="auto"/>
        </w:rPr>
      </w:pPr>
    </w:p>
    <w:p>
      <w:pPr>
        <w:ind w:left="286" w:right="40" w:hanging="286"/>
        <w:spacing w:after="0" w:line="267"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and Insurance</w:t>
      </w:r>
      <w:r>
        <w:rPr>
          <w:rFonts w:ascii="Times New Roman" w:cs="Times New Roman" w:eastAsia="Times New Roman" w:hAnsi="Times New Roman"/>
          <w:sz w:val="16"/>
          <w:szCs w:val="16"/>
          <w:color w:val="auto"/>
        </w:rPr>
        <w:t>. Exhibit A hereto, which is hereby incorporated herein as if set forth herein, sets forth certain agreements of the parties hereto in respect of indemnification and insurance.</w:t>
      </w:r>
    </w:p>
    <w:p>
      <w:pPr>
        <w:spacing w:after="0" w:line="150" w:lineRule="exact"/>
        <w:rPr>
          <w:rFonts w:ascii="Times New Roman" w:cs="Times New Roman" w:eastAsia="Times New Roman" w:hAnsi="Times New Roman"/>
          <w:sz w:val="16"/>
          <w:szCs w:val="16"/>
          <w:color w:val="auto"/>
        </w:rPr>
      </w:pPr>
    </w:p>
    <w:p>
      <w:pPr>
        <w:ind w:left="286" w:right="80" w:hanging="286"/>
        <w:spacing w:after="0" w:line="255"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the Agreement</w:t>
      </w:r>
      <w:r>
        <w:rPr>
          <w:rFonts w:ascii="Times New Roman" w:cs="Times New Roman" w:eastAsia="Times New Roman" w:hAnsi="Times New Roman"/>
          <w:sz w:val="16"/>
          <w:szCs w:val="16"/>
          <w:color w:val="auto"/>
        </w:rPr>
        <w:t>. The Board Director or the Company may terminate this agreement at any time for any reason. The Agreement hereunder shall automatically terminate upon the death of the Board Director. Any purported termination of the Board Director’s agreement by the Company or by the Board Director shall be communicated by written notice of termination to the other party hereto.</w:t>
      </w:r>
    </w:p>
    <w:p>
      <w:pPr>
        <w:spacing w:after="0" w:line="160" w:lineRule="exact"/>
        <w:rPr>
          <w:rFonts w:ascii="Times New Roman" w:cs="Times New Roman" w:eastAsia="Times New Roman" w:hAnsi="Times New Roman"/>
          <w:sz w:val="16"/>
          <w:szCs w:val="16"/>
          <w:color w:val="auto"/>
        </w:rPr>
      </w:pPr>
    </w:p>
    <w:p>
      <w:pPr>
        <w:ind w:left="286" w:right="200" w:hanging="286"/>
        <w:spacing w:after="0" w:line="248"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Compliance</w:t>
      </w:r>
      <w:r>
        <w:rPr>
          <w:rFonts w:ascii="Times New Roman" w:cs="Times New Roman" w:eastAsia="Times New Roman" w:hAnsi="Times New Roman"/>
          <w:sz w:val="16"/>
          <w:szCs w:val="16"/>
          <w:color w:val="auto"/>
        </w:rPr>
        <w:t>. The Board Director acknowledges receipt of, and has reviewed, the Company’s Insider Trading Policy, and covenants to comply fully with the terms thereof. The Board Director shall not, directly or indirectly, purchase, sell, or otherwise trade in any securities of the Company while in possession of material nonpublic information, during any trading blackout period, or in contravention of any pre-clearance or other procedures established under such Policy. Any trades executed pursuant to a Rule 10b5-1 trading plan shall be in strict accordance with the requirements of the Policy. The Board Director shall consult with the Company’s Compliance Officer with respect to any questions concerning material nonpublic information, pre-clearance, or the permissibility of any proposed transaction, and shall promptly report any known or suspected violations of the Policy or applicable securities laws.</w:t>
      </w:r>
    </w:p>
    <w:p>
      <w:pPr>
        <w:spacing w:after="0" w:line="166"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 and Warranties</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right="20" w:hanging="286"/>
        <w:spacing w:after="0" w:line="267" w:lineRule="auto"/>
        <w:tabs>
          <w:tab w:leader="none" w:pos="566"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this Agreement has been authorized by the Company and is a valid and binding agreement of the Company enforceable against it in accordance with its terms.</w:t>
      </w:r>
    </w:p>
    <w:p>
      <w:pPr>
        <w:spacing w:after="0" w:line="150" w:lineRule="exact"/>
        <w:rPr>
          <w:rFonts w:ascii="Times New Roman" w:cs="Times New Roman" w:eastAsia="Times New Roman" w:hAnsi="Times New Roman"/>
          <w:sz w:val="16"/>
          <w:szCs w:val="16"/>
          <w:color w:val="auto"/>
        </w:rPr>
      </w:pPr>
    </w:p>
    <w:p>
      <w:pPr>
        <w:ind w:left="566" w:right="200" w:hanging="286"/>
        <w:spacing w:after="0" w:line="267" w:lineRule="auto"/>
        <w:tabs>
          <w:tab w:leader="none" w:pos="566"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Director represents and warrants that he is not a party to any agreement or instrument which would prevent him from entering into or performing his duties under this Agreement.</w:t>
      </w:r>
    </w:p>
    <w:p>
      <w:pPr>
        <w:spacing w:after="0" w:line="150" w:lineRule="exact"/>
        <w:rPr>
          <w:rFonts w:ascii="Times New Roman" w:cs="Times New Roman" w:eastAsia="Times New Roman" w:hAnsi="Times New Roman"/>
          <w:sz w:val="16"/>
          <w:szCs w:val="16"/>
          <w:color w:val="auto"/>
        </w:rPr>
      </w:pPr>
    </w:p>
    <w:p>
      <w:pPr>
        <w:ind w:left="286" w:right="40" w:hanging="286"/>
        <w:spacing w:after="0" w:line="251"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The Board Director agrees to be subject to the Company’s reasonable policies concerning Confidentiality and Non-Disclosure as in effect from time to time. The Company agrees that nothing herein or therein shall prevent the Board Director from rendering services in any capacity to any other person or business from time to time, subject to the compliance with any confidentiality and non-disclosure obligations, to the Board Director’s obligations as a fiduciary of the Company and to applicable law.</w:t>
      </w:r>
    </w:p>
    <w:p>
      <w:pPr>
        <w:spacing w:after="0" w:line="163" w:lineRule="exact"/>
        <w:rPr>
          <w:rFonts w:ascii="Times New Roman" w:cs="Times New Roman" w:eastAsia="Times New Roman" w:hAnsi="Times New Roman"/>
          <w:sz w:val="16"/>
          <w:szCs w:val="16"/>
          <w:color w:val="auto"/>
        </w:rPr>
      </w:pPr>
    </w:p>
    <w:p>
      <w:pPr>
        <w:ind w:left="286" w:hanging="286"/>
        <w:spacing w:after="0" w:line="249" w:lineRule="auto"/>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Fiduciary Duties.</w:t>
      </w:r>
      <w:r>
        <w:rPr>
          <w:rFonts w:ascii="Times New Roman" w:cs="Times New Roman" w:eastAsia="Times New Roman" w:hAnsi="Times New Roman"/>
          <w:sz w:val="16"/>
          <w:szCs w:val="16"/>
          <w:color w:val="auto"/>
        </w:rPr>
        <w:t xml:space="preserve"> The Board Director acknowledges and agrees that, in serving as a Board Member, the Board Director owes fiduciary duties of loyalty and care to the Company and its stockholders under applicable law. The Board Director shall discharge such duties in good faith, with the care that an ordinarily prudent person in a like position would exercise under similar circumstances, and in a manner that the Board Director reasonably believes to be in the best interests of the Company and its stockholders. The Board Director shall avoid self-dealing, conflicts of interest, or other actions that would violate such fiduciary duties and shall promptly disclose to the Board any actual or potential conflicts of interest of which the Board Director becomes aware.</w:t>
      </w:r>
    </w:p>
    <w:p>
      <w:pPr>
        <w:spacing w:after="0" w:line="16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Binding Agreement</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assignable by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338455</wp:posOffset>
            </wp:positionV>
            <wp:extent cx="715073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520" w:right="319" w:bottom="1440" w:gutter="0" w:footer="0" w:header="0"/>
        </w:sectPr>
      </w:pPr>
    </w:p>
    <w:bookmarkStart w:id="72" w:name="page73"/>
    <w:bookmarkEnd w:id="72"/>
    <w:p>
      <w:pPr>
        <w:ind w:left="566" w:hanging="286"/>
        <w:spacing w:after="0" w:line="293" w:lineRule="auto"/>
        <w:tabs>
          <w:tab w:leader="none" w:pos="566"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a personal contract and the rights and interests of the Board Director hereunder may not be sold, transferred, assigned, pledged, encumbered, or hypothecated by him, except as otherwise expressly permitted by the provisions of this Agreement. This Agreement shall inure to the benefit of and be enforceable by the Board Director and his personal or legal representatives, executors, administrators, successors, heirs, distributes, devisees and legatees. If the Board Director should die while any amount would still be payable to him hereunder had the Board Director continued to live, all such amounts, unless otherwise provided herein, shall be paid in accordance with the terms of this Agreement to his devisee, legatee or other designee or, if there is no such designee, to his estate.</w:t>
      </w:r>
    </w:p>
    <w:p>
      <w:pPr>
        <w:spacing w:after="0" w:line="137" w:lineRule="exact"/>
        <w:rPr>
          <w:rFonts w:ascii="Times New Roman" w:cs="Times New Roman" w:eastAsia="Times New Roman" w:hAnsi="Times New Roman"/>
          <w:sz w:val="14"/>
          <w:szCs w:val="14"/>
          <w:color w:val="auto"/>
        </w:rPr>
      </w:pPr>
    </w:p>
    <w:p>
      <w:pPr>
        <w:jc w:val="both"/>
        <w:ind w:left="566" w:right="40" w:hanging="286"/>
        <w:spacing w:after="0" w:line="309" w:lineRule="auto"/>
        <w:tabs>
          <w:tab w:leader="none" w:pos="566"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hereunder may not be assigned by the Company without the prior written consent of the Board Director. This Agreement shall be binding upon and be enforceable against the Company’s successors (including any direct or indirect successor by purchase, merger, consolidation, or otherwise to all or substantially all of the business and/or assets of the Company) and assigns and against the Board Director’s personal and legal representatives.</w:t>
      </w:r>
    </w:p>
    <w:p>
      <w:pPr>
        <w:spacing w:after="0" w:line="125" w:lineRule="exact"/>
        <w:rPr>
          <w:rFonts w:ascii="Times New Roman" w:cs="Times New Roman" w:eastAsia="Times New Roman" w:hAnsi="Times New Roman"/>
          <w:sz w:val="14"/>
          <w:szCs w:val="14"/>
          <w:color w:val="auto"/>
        </w:rPr>
      </w:pPr>
    </w:p>
    <w:p>
      <w:pPr>
        <w:ind w:left="286" w:right="20" w:hanging="286"/>
        <w:spacing w:after="0" w:line="251" w:lineRule="auto"/>
        <w:tabs>
          <w:tab w:leader="none" w:pos="2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contains all the understandings between the parties hereto pertaining to the matters referred to herein, and on the Effective Date shall supersede all undertakings and agreements, whether oral or in writing, previously entered into by them with respect hereto. The Board Director represents that, in executing this Agreement, he does not rely and has not relied upon any representation or statement not set forth herein made by the Company with regard to the subject matter, bases or effect of this Agreement or otherwise.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1" w:lineRule="auto"/>
        <w:tabs>
          <w:tab w:leader="none" w:pos="2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or Modification; Waiver</w:t>
      </w:r>
      <w:r>
        <w:rPr>
          <w:rFonts w:ascii="Times New Roman" w:cs="Times New Roman" w:eastAsia="Times New Roman" w:hAnsi="Times New Roman"/>
          <w:sz w:val="16"/>
          <w:szCs w:val="16"/>
          <w:color w:val="auto"/>
        </w:rPr>
        <w:t>. No provision of this Agreement may be amended or waived unless such amendment or waiver is agreed to in writing, signed by the Board and by a duly authorized officer of the Company.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5" w:lineRule="auto"/>
        <w:tabs>
          <w:tab w:leader="none" w:pos="2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hereunder shall be in writing and shall be deemed given when delivered personally, sent by courier or telecopy (including e-mail transmission) or registered or certified mail, postage prepaid, return receipt requested, addressed to the party concerned at the address indicated below or to such other address as such party may subsequently give notice of hereunder in writing:</w:t>
      </w:r>
    </w:p>
    <w:p>
      <w:pPr>
        <w:spacing w:after="0" w:line="160" w:lineRule="exact"/>
        <w:rPr>
          <w:sz w:val="20"/>
          <w:szCs w:val="20"/>
          <w:color w:val="auto"/>
        </w:rPr>
      </w:pPr>
    </w:p>
    <w:tbl>
      <w:tblPr>
        <w:tblLayout w:type="fixed"/>
        <w:tblInd w:w="2266" w:type="dxa"/>
        <w:tblCellMar>
          <w:top w:w="0" w:type="dxa"/>
          <w:left w:w="0" w:type="dxa"/>
          <w:bottom w:w="0" w:type="dxa"/>
          <w:right w:w="0" w:type="dxa"/>
        </w:tblCellMar>
      </w:tblPr>
      <w:tr>
        <w:trPr>
          <w:trHeight w:val="18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Board</w:t>
            </w: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Craig Rademaker</w:t>
            </w:r>
          </w:p>
        </w:tc>
        <w:tc>
          <w:tcPr>
            <w:tcW w:w="0" w:type="dxa"/>
            <w:vAlign w:val="bottom"/>
          </w:tcPr>
          <w:p>
            <w:pPr>
              <w:spacing w:after="0"/>
              <w:rPr>
                <w:sz w:val="1"/>
                <w:szCs w:val="1"/>
                <w:color w:val="auto"/>
              </w:rPr>
            </w:pPr>
          </w:p>
        </w:tc>
      </w:tr>
      <w:tr>
        <w:trPr>
          <w:trHeight w:val="109"/>
        </w:trPr>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 at:</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tcPr>
          <w:p>
            <w:pPr>
              <w:spacing w:after="0"/>
              <w:rPr>
                <w:sz w:val="8"/>
                <w:szCs w:val="8"/>
                <w:color w:val="auto"/>
              </w:rPr>
            </w:pP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11-3085 Deer Ridge Close,</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West Vancouver,</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BC V7S 4WE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358"/>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Company at:</w:t>
            </w: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5"/>
              </w:rPr>
              <w:t>Attention: Sushma Shivaswamy,</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Interim CEO</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XBiotech, Inc.</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5217 Winnebago Ln</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Austin, TX 78744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 w:right="160"/>
        <w:spacing w:after="0" w:line="267" w:lineRule="auto"/>
        <w:rPr>
          <w:sz w:val="20"/>
          <w:szCs w:val="20"/>
          <w:color w:val="auto"/>
        </w:rPr>
      </w:pPr>
      <w:r>
        <w:rPr>
          <w:rFonts w:ascii="Times New Roman" w:cs="Times New Roman" w:eastAsia="Times New Roman" w:hAnsi="Times New Roman"/>
          <w:sz w:val="16"/>
          <w:szCs w:val="16"/>
          <w:color w:val="auto"/>
        </w:rPr>
        <w:t>Any Notice delivered personally or by courier under this Section 17 shall be deemed given on the date delivered and any notice sent by telecopy or registered or certified mail, postage paid, return receipt requested, shall be deemed given on the date telecopied or mailed.</w:t>
      </w:r>
    </w:p>
    <w:p>
      <w:pPr>
        <w:spacing w:after="0" w:line="174" w:lineRule="exact"/>
        <w:rPr>
          <w:sz w:val="20"/>
          <w:szCs w:val="20"/>
          <w:color w:val="auto"/>
        </w:rPr>
      </w:pPr>
    </w:p>
    <w:p>
      <w:pPr>
        <w:ind w:left="286" w:hanging="286"/>
        <w:spacing w:after="0" w:line="251" w:lineRule="auto"/>
        <w:tabs>
          <w:tab w:leader="none" w:pos="28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63" w:lineRule="exact"/>
        <w:rPr>
          <w:rFonts w:ascii="Times New Roman" w:cs="Times New Roman" w:eastAsia="Times New Roman" w:hAnsi="Times New Roman"/>
          <w:sz w:val="16"/>
          <w:szCs w:val="16"/>
          <w:color w:val="auto"/>
        </w:rPr>
      </w:pPr>
    </w:p>
    <w:p>
      <w:pPr>
        <w:ind w:left="286" w:right="300" w:hanging="286"/>
        <w:spacing w:after="0" w:line="267" w:lineRule="auto"/>
        <w:tabs>
          <w:tab w:leader="none" w:pos="28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Survivorship</w:t>
      </w:r>
      <w:r>
        <w:rPr>
          <w:rFonts w:ascii="Times New Roman" w:cs="Times New Roman" w:eastAsia="Times New Roman" w:hAnsi="Times New Roman"/>
          <w:sz w:val="16"/>
          <w:szCs w:val="16"/>
          <w:color w:val="auto"/>
        </w:rPr>
        <w:t>. The respective rights and obligations of the parties hereunder shall survive any termination of this Agreement to the extent necessary to the intended preservation of such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299085</wp:posOffset>
            </wp:positionV>
            <wp:extent cx="715073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73" w:name="page74"/>
    <w:bookmarkEnd w:id="73"/>
    <w:p>
      <w:pPr>
        <w:ind w:left="286" w:hanging="286"/>
        <w:spacing w:after="0" w:line="251" w:lineRule="auto"/>
        <w:tabs>
          <w:tab w:leader="none" w:pos="28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Jurisdiction</w:t>
      </w:r>
      <w:r>
        <w:rPr>
          <w:rFonts w:ascii="Times New Roman" w:cs="Times New Roman" w:eastAsia="Times New Roman" w:hAnsi="Times New Roman"/>
          <w:sz w:val="16"/>
          <w:szCs w:val="16"/>
          <w:color w:val="auto"/>
        </w:rPr>
        <w:t>. This Agreement will be governed by and construed in accordance with the laws of the State of Delaware, without regard to its conflicts of the laws principles. Each of the parties to this Agreement agrees that the courts of the States of Delaware and New York shall have exclusive jurisdiction to hear and determine any claim, suit, action or proceeding, and to settle any disputes, which may arise out of or are in any way related to or in connection with this Agreement.</w:t>
      </w:r>
    </w:p>
    <w:p>
      <w:pPr>
        <w:spacing w:after="0" w:line="163" w:lineRule="exact"/>
        <w:rPr>
          <w:rFonts w:ascii="Times New Roman" w:cs="Times New Roman" w:eastAsia="Times New Roman" w:hAnsi="Times New Roman"/>
          <w:sz w:val="16"/>
          <w:szCs w:val="16"/>
          <w:color w:val="auto"/>
        </w:rPr>
      </w:pPr>
    </w:p>
    <w:p>
      <w:pPr>
        <w:ind w:left="286" w:right="140" w:hanging="286"/>
        <w:spacing w:after="0" w:line="267" w:lineRule="auto"/>
        <w:tabs>
          <w:tab w:leader="none" w:pos="28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All descriptive headings of the sections and paragraphs in this Agreement are intended solely for convenience, and no provision of this Agreement is to be construed by reference to the heading of any section or paragraph</w:t>
      </w:r>
    </w:p>
    <w:p>
      <w:pPr>
        <w:spacing w:after="0" w:line="337" w:lineRule="exact"/>
        <w:rPr>
          <w:rFonts w:ascii="Times New Roman" w:cs="Times New Roman" w:eastAsia="Times New Roman" w:hAnsi="Times New Roman"/>
          <w:sz w:val="16"/>
          <w:szCs w:val="16"/>
          <w:color w:val="auto"/>
        </w:rPr>
      </w:pPr>
    </w:p>
    <w:p>
      <w:pPr>
        <w:ind w:left="286" w:hanging="286"/>
        <w:spacing w:after="0" w:line="255" w:lineRule="auto"/>
        <w:tabs>
          <w:tab w:leader="none" w:pos="28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parties agree to cooperate in respect of tax withholding and reporting consequences of the arrangements described herein. The parties acknowledge that there is no U.S. federal tax withholding requirement applicable under current law to the compensation described herein. The Company agrees to facilitate, to the extent reasonably practical, the performance of the Board Director’s services in a manner that minimizes the Board Director’s U.S. tax obligations.</w:t>
      </w:r>
    </w:p>
    <w:p>
      <w:pPr>
        <w:spacing w:after="0" w:line="347" w:lineRule="exact"/>
        <w:rPr>
          <w:rFonts w:ascii="Times New Roman" w:cs="Times New Roman" w:eastAsia="Times New Roman" w:hAnsi="Times New Roman"/>
          <w:sz w:val="16"/>
          <w:szCs w:val="16"/>
          <w:color w:val="auto"/>
        </w:rPr>
      </w:pPr>
    </w:p>
    <w:p>
      <w:pPr>
        <w:ind w:left="286" w:right="200" w:hanging="286"/>
        <w:spacing w:after="0" w:line="340" w:lineRule="auto"/>
        <w:tabs>
          <w:tab w:leader="none" w:pos="28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and delivered, including by facsimile transmission or by electronic transmission in Adobe portable document format (or a "PDF file"), in counterparts, each of which shall be deemed an original, and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2165985</wp:posOffset>
            </wp:positionV>
            <wp:extent cx="715073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as of the date first above written.</w:t>
      </w:r>
    </w:p>
    <w:p>
      <w:pPr>
        <w:spacing w:after="0" w:line="18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CRAIG RADEMAKER</w:t>
      </w:r>
    </w:p>
    <w:p>
      <w:pPr>
        <w:spacing w:after="0" w:line="3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XBIOTECH INC.</w:t>
      </w:r>
    </w:p>
    <w:p>
      <w:pPr>
        <w:spacing w:after="0" w:line="37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By:__________________________</w:t>
      </w:r>
    </w:p>
    <w:p>
      <w:pPr>
        <w:spacing w:after="0" w:line="4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1499235</wp:posOffset>
            </wp:positionV>
            <wp:extent cx="715073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499"/>
          </w:cols>
          <w:pgMar w:left="960" w:top="520" w:right="1440" w:bottom="1440" w:gutter="0" w:footer="0" w:header="0"/>
        </w:sectPr>
      </w:pPr>
    </w:p>
    <w:bookmarkStart w:id="75" w:name="page76"/>
    <w:bookmarkEnd w:id="75"/>
    <w:p>
      <w:pPr>
        <w:jc w:val="center"/>
        <w:ind w:right="-6"/>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1" w:lineRule="exact"/>
        <w:rPr>
          <w:sz w:val="20"/>
          <w:szCs w:val="20"/>
          <w:color w:val="auto"/>
        </w:rPr>
      </w:pPr>
    </w:p>
    <w:p>
      <w:pPr>
        <w:ind w:left="427" w:hanging="427"/>
        <w:spacing w:after="0"/>
        <w:tabs>
          <w:tab w:leader="none" w:pos="42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As used in this Exhibit:</w:t>
      </w:r>
    </w:p>
    <w:p>
      <w:pPr>
        <w:spacing w:after="0" w:line="189" w:lineRule="exact"/>
        <w:rPr>
          <w:rFonts w:ascii="Times New Roman" w:cs="Times New Roman" w:eastAsia="Times New Roman" w:hAnsi="Times New Roman"/>
          <w:sz w:val="16"/>
          <w:szCs w:val="16"/>
          <w:color w:val="auto"/>
        </w:rPr>
      </w:pPr>
    </w:p>
    <w:p>
      <w:pPr>
        <w:ind w:left="7" w:right="300" w:firstLine="647"/>
        <w:spacing w:after="0" w:line="340" w:lineRule="auto"/>
        <w:tabs>
          <w:tab w:leader="none" w:pos="924"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xml:space="preserve"> with respect to any request by the Board Director for indemnification or advancement of expenses hereunder shall mean a director of the Company who neither is nor was a party to the Proceeding (as defined below) in respect of which indemnification or advancement is being sought by the Board Director.</w:t>
      </w:r>
    </w:p>
    <w:p>
      <w:pPr>
        <w:spacing w:after="0" w:line="104" w:lineRule="exact"/>
        <w:rPr>
          <w:rFonts w:ascii="Times New Roman" w:cs="Times New Roman" w:eastAsia="Times New Roman" w:hAnsi="Times New Roman"/>
          <w:sz w:val="14"/>
          <w:szCs w:val="14"/>
          <w:color w:val="auto"/>
        </w:rPr>
      </w:pPr>
    </w:p>
    <w:p>
      <w:pPr>
        <w:ind w:left="7" w:right="200" w:firstLine="647"/>
        <w:spacing w:after="0" w:line="249" w:lineRule="auto"/>
        <w:tabs>
          <w:tab w:leader="none" w:pos="92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shall mean any expense, liability or loss, including, without limitation, damages, judgments, fines, penalties, settlements (if, and only if, such settlement is approved in advance by the Company, which approval shall not be unreasonably withheld) and costs, attorneys’ fees and disbursements and costs of attachment or similar bond, investigations, liabilities, losses, taxes, any expense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 under this Exhibit.</w:t>
      </w:r>
    </w:p>
    <w:p>
      <w:pPr>
        <w:spacing w:after="0" w:line="165" w:lineRule="exact"/>
        <w:rPr>
          <w:rFonts w:ascii="Times New Roman" w:cs="Times New Roman" w:eastAsia="Times New Roman" w:hAnsi="Times New Roman"/>
          <w:sz w:val="16"/>
          <w:szCs w:val="16"/>
          <w:color w:val="auto"/>
        </w:rPr>
      </w:pPr>
    </w:p>
    <w:p>
      <w:pPr>
        <w:ind w:left="87" w:right="120" w:firstLine="567"/>
        <w:spacing w:after="0" w:line="290" w:lineRule="auto"/>
        <w:tabs>
          <w:tab w:leader="none" w:pos="90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Independent Legal Counsel”</w:t>
      </w:r>
      <w:r>
        <w:rPr>
          <w:rFonts w:ascii="Times New Roman" w:cs="Times New Roman" w:eastAsia="Times New Roman" w:hAnsi="Times New Roman"/>
          <w:sz w:val="14"/>
          <w:szCs w:val="14"/>
          <w:color w:val="auto"/>
        </w:rPr>
        <w:t xml:space="preserve"> shall mean any firm of attorneys that is reasonably selected by the Board, so long as such firm is not presently representing and has not in the preceding five (5) years represented the Company, the Company’s subsidiaries or affiliates, the Board Director, any entity controlled by the Board Director, or any party adverse to the Company in any matter material to any such party (other than with respect to matters concerning the Board Director under this Exhibit, or of other Board Directors under similar indemnification Exhibits). Notwithstanding the foregoing, the term “Independent Legal Counsel” shall not include any person who, under applicable standards of professional conduct then prevailing, would have a conflict of interest in representing either the Company or the Board Director in an action to determine the Board Director’s right to indemnification or advancement of expenses under this Exhibit, the Company’s Articles of Association (the “</w:t>
      </w:r>
      <w:r>
        <w:rPr>
          <w:rFonts w:ascii="Times New Roman" w:cs="Times New Roman" w:eastAsia="Times New Roman" w:hAnsi="Times New Roman"/>
          <w:sz w:val="14"/>
          <w:szCs w:val="14"/>
          <w:u w:val="single" w:color="auto"/>
          <w:color w:val="auto"/>
        </w:rPr>
        <w:t>Articles”</w:t>
      </w:r>
      <w:r>
        <w:rPr>
          <w:rFonts w:ascii="Times New Roman" w:cs="Times New Roman" w:eastAsia="Times New Roman" w:hAnsi="Times New Roman"/>
          <w:sz w:val="14"/>
          <w:szCs w:val="14"/>
          <w:color w:val="auto"/>
        </w:rPr>
        <w:t>), applicable law or otherwise.</w:t>
      </w:r>
    </w:p>
    <w:p>
      <w:pPr>
        <w:spacing w:after="0" w:line="139" w:lineRule="exact"/>
        <w:rPr>
          <w:rFonts w:ascii="Times New Roman" w:cs="Times New Roman" w:eastAsia="Times New Roman" w:hAnsi="Times New Roman"/>
          <w:sz w:val="14"/>
          <w:szCs w:val="14"/>
          <w:color w:val="auto"/>
        </w:rPr>
      </w:pPr>
    </w:p>
    <w:p>
      <w:pPr>
        <w:ind w:left="7" w:right="40" w:firstLine="647"/>
        <w:spacing w:after="0" w:line="246" w:lineRule="auto"/>
        <w:tabs>
          <w:tab w:leader="none" w:pos="92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shall mean any threatened, pending or completed action, suit, arbitration, alternate dispute resolution mechanism, investigation, inquiry, hearing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in which the Board Director was, is or will be involved as a party or otherwise, by reason of (i) the fact that the Board Director is or was a director (or a director appointee) of the Company, or is or was serving at the request of the Company as an agent of another enterprise, (ii) any actual or alleged act or omission or neglect or breach of duty, including, without limitation, any actual or alleged error or misstatement or misleading statement, which the Board Director commits or suffers while acting in any such capacity, or (iii) the Board Director attempting to establish or establishing a right to indemnification or advancement of expenses pursuant to this Exhibit, the Articles, applicable law or otherwise, in each case whether or not the Board Director is acting or serving in any such capacity at the time any liability or expense is incurred for which indemnification can be provided under this Exhibit.</w:t>
      </w:r>
    </w:p>
    <w:p>
      <w:pPr>
        <w:spacing w:after="0" w:line="169" w:lineRule="exact"/>
        <w:rPr>
          <w:rFonts w:ascii="Times New Roman" w:cs="Times New Roman" w:eastAsia="Times New Roman" w:hAnsi="Times New Roman"/>
          <w:sz w:val="16"/>
          <w:szCs w:val="16"/>
          <w:color w:val="auto"/>
        </w:rPr>
      </w:pPr>
    </w:p>
    <w:p>
      <w:pPr>
        <w:ind w:left="7" w:firstLine="647"/>
        <w:spacing w:after="0" w:line="247" w:lineRule="auto"/>
        <w:tabs>
          <w:tab w:leader="none" w:pos="921"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phrase “</w:t>
      </w:r>
      <w:r>
        <w:rPr>
          <w:rFonts w:ascii="Times New Roman" w:cs="Times New Roman" w:eastAsia="Times New Roman" w:hAnsi="Times New Roman"/>
          <w:sz w:val="16"/>
          <w:szCs w:val="16"/>
          <w:u w:val="single" w:color="auto"/>
          <w:color w:val="auto"/>
        </w:rPr>
        <w:t>serving at the request of the Company as an agent of another enterprise”</w:t>
      </w:r>
      <w:r>
        <w:rPr>
          <w:rFonts w:ascii="Times New Roman" w:cs="Times New Roman" w:eastAsia="Times New Roman" w:hAnsi="Times New Roman"/>
          <w:sz w:val="16"/>
          <w:szCs w:val="16"/>
          <w:color w:val="auto"/>
        </w:rPr>
        <w:t xml:space="preserve">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 or an executive officer of the Company which imposes duties on, or involves services by, such director or executive officer with respect to the Company or any of the Company’s subsidiaries, affiliates, employee benefit or welfare plans, such plan’s participants or beneficiaries or any other enterprise, foreign or domestic. In the event that the Board Director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Board Director is so acting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15073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518" w:right="319" w:bottom="1440" w:gutter="0" w:footer="0" w:header="0"/>
        </w:sectPr>
      </w:pPr>
    </w:p>
    <w:bookmarkStart w:id="76" w:name="page77"/>
    <w:bookmarkEnd w:id="76"/>
    <w:p>
      <w:pPr>
        <w:ind w:left="-367" w:right="300" w:firstLine="367"/>
        <w:spacing w:after="0" w:line="267" w:lineRule="auto"/>
        <w:tabs>
          <w:tab w:leader="none" w:pos="27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Subject to Section 6 below, the Company hereby agrees to hold harmless and indemnify the Board Director to the fullest extent permitted by law. In furtherance of the foregoing indemnification and without limiting the generality thereof:</w:t>
      </w:r>
    </w:p>
    <w:p>
      <w:pPr>
        <w:spacing w:after="0" w:line="150" w:lineRule="exact"/>
        <w:rPr>
          <w:rFonts w:ascii="Times New Roman" w:cs="Times New Roman" w:eastAsia="Times New Roman" w:hAnsi="Times New Roman"/>
          <w:sz w:val="16"/>
          <w:szCs w:val="16"/>
          <w:color w:val="auto"/>
        </w:rPr>
      </w:pPr>
    </w:p>
    <w:p>
      <w:pPr>
        <w:jc w:val="both"/>
        <w:ind w:left="-367" w:right="160" w:firstLine="647"/>
        <w:spacing w:after="0" w:line="255" w:lineRule="auto"/>
        <w:tabs>
          <w:tab w:leader="none" w:pos="55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The Company shall indemnify the Board Director if the Board Director is a party to or threatened to be made a party to or is otherwise involved in any Proceeding against all Expenses which are actually and reasonably incurred by the Board Director in connection with such a Proceeding, if the Board Director acted in good faith and in a manner the Board Director reasonably believed to be in, or not opposed to, the best interests of the Company.</w:t>
      </w:r>
    </w:p>
    <w:p>
      <w:pPr>
        <w:spacing w:after="0" w:line="160" w:lineRule="exact"/>
        <w:rPr>
          <w:rFonts w:ascii="Times New Roman" w:cs="Times New Roman" w:eastAsia="Times New Roman" w:hAnsi="Times New Roman"/>
          <w:sz w:val="16"/>
          <w:szCs w:val="16"/>
          <w:color w:val="auto"/>
        </w:rPr>
      </w:pPr>
    </w:p>
    <w:p>
      <w:pPr>
        <w:ind w:left="-367" w:right="300" w:firstLine="647"/>
        <w:spacing w:after="0" w:line="255" w:lineRule="auto"/>
        <w:tabs>
          <w:tab w:leader="none" w:pos="559"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for Expenses of Witness.</w:t>
      </w:r>
      <w:r>
        <w:rPr>
          <w:rFonts w:ascii="Times New Roman" w:cs="Times New Roman" w:eastAsia="Times New Roman" w:hAnsi="Times New Roman"/>
          <w:sz w:val="16"/>
          <w:szCs w:val="16"/>
          <w:color w:val="auto"/>
        </w:rPr>
        <w:t xml:space="preserve"> Notwithstanding any other provision of this Exhibit, to the extent that the Board Director has prepared to serve or has served as a witness or is made to respond to discovery requests in any Proceeding to which the Board Director is not a party, the Board Director shall be indemnified against all Expenses actually and reasonably incurred by the Board Director in connection therewith.</w:t>
      </w:r>
    </w:p>
    <w:p>
      <w:pPr>
        <w:spacing w:after="0" w:line="160" w:lineRule="exact"/>
        <w:rPr>
          <w:rFonts w:ascii="Times New Roman" w:cs="Times New Roman" w:eastAsia="Times New Roman" w:hAnsi="Times New Roman"/>
          <w:sz w:val="16"/>
          <w:szCs w:val="16"/>
          <w:color w:val="auto"/>
        </w:rPr>
      </w:pPr>
    </w:p>
    <w:p>
      <w:pPr>
        <w:jc w:val="both"/>
        <w:ind w:left="-367" w:right="400" w:firstLine="647"/>
        <w:spacing w:after="0" w:line="255" w:lineRule="auto"/>
        <w:tabs>
          <w:tab w:leader="none" w:pos="55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Partial Indemnification.</w:t>
      </w:r>
      <w:r>
        <w:rPr>
          <w:rFonts w:ascii="Times New Roman" w:cs="Times New Roman" w:eastAsia="Times New Roman" w:hAnsi="Times New Roman"/>
          <w:sz w:val="16"/>
          <w:szCs w:val="16"/>
          <w:color w:val="auto"/>
        </w:rPr>
        <w:t xml:space="preserve"> If Board Director is entitled under any provision of this Exhibit to indemnification by the Company for some or a portion of Expenses incurred in connection with any Proceedings, but not, however, for the total amount thereof, the Company shall nevertheless indemnify Board Director for the portion of such Expenses to which Board Director is entitled.</w:t>
      </w:r>
    </w:p>
    <w:p>
      <w:pPr>
        <w:spacing w:after="0" w:line="160" w:lineRule="exact"/>
        <w:rPr>
          <w:rFonts w:ascii="Times New Roman" w:cs="Times New Roman" w:eastAsia="Times New Roman" w:hAnsi="Times New Roman"/>
          <w:sz w:val="16"/>
          <w:szCs w:val="16"/>
          <w:color w:val="auto"/>
        </w:rPr>
      </w:pPr>
    </w:p>
    <w:p>
      <w:pPr>
        <w:ind w:left="-367" w:firstLine="367"/>
        <w:spacing w:after="0" w:line="247" w:lineRule="auto"/>
        <w:tabs>
          <w:tab w:leader="none" w:pos="27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the indemnification provided in Section 2 above is unavailable to Board Director for any reason (other than those set forth in Section 6 below) in connection with a Proceeding in which the Company is jointly liable with Board Director (or would be if joined in such Proceeding), the Company, in lieu of indemnifying Board Director thereunder, shall contribute to the amount of Expenses which are actually and reasonably incurred and paid or payable by the Board Director in such proportion as is deemed fair and reasonable by the person or persons presiding over the Proceeding in light of all of the circumstances of such Proceeding in order to reflect (i) the relative benefits received by the Company and the Board Director and/or (ii) the relative fault of the Company and such Board Director in connection with the transaction or events from which such Proceeding arose. The relative fault of the Company and the Board Director shall be determined by reference to, among other things, the parties’ relative intent, knowledge, access to information and opportunity to correct or prevent the circumstances resulting in such Expenses.</w:t>
      </w:r>
    </w:p>
    <w:p>
      <w:pPr>
        <w:spacing w:after="0" w:line="168" w:lineRule="exact"/>
        <w:rPr>
          <w:rFonts w:ascii="Times New Roman" w:cs="Times New Roman" w:eastAsia="Times New Roman" w:hAnsi="Times New Roman"/>
          <w:sz w:val="16"/>
          <w:szCs w:val="16"/>
          <w:color w:val="auto"/>
        </w:rPr>
      </w:pPr>
    </w:p>
    <w:p>
      <w:pPr>
        <w:ind w:left="-367" w:right="40" w:firstLine="367"/>
        <w:spacing w:after="0" w:line="249" w:lineRule="auto"/>
        <w:tabs>
          <w:tab w:leader="none" w:pos="27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Advancement of Expenses.</w:t>
      </w:r>
      <w:r>
        <w:rPr>
          <w:rFonts w:ascii="Times New Roman" w:cs="Times New Roman" w:eastAsia="Times New Roman" w:hAnsi="Times New Roman"/>
          <w:sz w:val="16"/>
          <w:szCs w:val="16"/>
          <w:color w:val="auto"/>
        </w:rPr>
        <w:t xml:space="preserve"> The Expenses incurred by the Board Director in any Proceeding shall be paid promptly by the Company in advance of the final disposition of the Proceeding at the written request of the Board Director to the fullest extent permitted by applicable law; provided, however, that the Board Director shall set forth in such request reasonable evidence that such Expenses have been incurred by the Board Director in connection with such Proceeding and hereby undertakes to repay any advances if it is ultimately determined as provided in subsection 5(b) of this Exhibit that the Board Director is not entitled to indemnification under this Exhibit, the Articles, applicable law or otherwise.</w:t>
      </w:r>
    </w:p>
    <w:p>
      <w:pPr>
        <w:spacing w:after="0" w:line="165"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Procedure; Determination of Right to Indemnification.</w:t>
      </w:r>
    </w:p>
    <w:p>
      <w:pPr>
        <w:spacing w:after="0" w:line="189" w:lineRule="exact"/>
        <w:rPr>
          <w:rFonts w:ascii="Times New Roman" w:cs="Times New Roman" w:eastAsia="Times New Roman" w:hAnsi="Times New Roman"/>
          <w:sz w:val="16"/>
          <w:szCs w:val="16"/>
          <w:color w:val="auto"/>
        </w:rPr>
      </w:pPr>
    </w:p>
    <w:p>
      <w:pPr>
        <w:ind w:left="-367" w:right="240" w:firstLine="647"/>
        <w:spacing w:after="0" w:line="293" w:lineRule="auto"/>
        <w:tabs>
          <w:tab w:leader="none" w:pos="55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the Board Director of notice of the commencement of any Proceeding, the Board Director shall, if a claim for indemnification in respect thereof is to be made against the Company under this Exhibit, notify the Company of the commencement thereof in a written request, including therein or therewith such documentation and information as is reasonably available to Board Director and is reasonably necessary to determine whether and to what extent Board Director is entitled to indemnification. The omission to so notify the Company will not relieve the Company from any liability which the Company may have to the Board Director under this Exhibit unless the Company shall have lost significant substantive or procedural rights with respect to the defense of any Proceeding as a result of such omission to so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290830</wp:posOffset>
            </wp:positionV>
            <wp:extent cx="715073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53"/>
          </w:cols>
          <w:pgMar w:left="687" w:top="520" w:right="359" w:bottom="1440" w:gutter="0" w:footer="0" w:header="0"/>
        </w:sectPr>
      </w:pPr>
    </w:p>
    <w:bookmarkStart w:id="77" w:name="page78"/>
    <w:bookmarkEnd w:id="77"/>
    <w:p>
      <w:pPr>
        <w:ind w:left="-647" w:right="20" w:firstLine="647"/>
        <w:spacing w:after="0" w:line="293" w:lineRule="auto"/>
        <w:tabs>
          <w:tab w:leader="none" w:pos="27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Director shall be conclusively presumed to be entitled to indemnification under this Exhibit unless a determination is made that the Board Director is not entitled to indemnification under this Exhibit, the Articles, applicable law or otherwise by (i) a majority vote of the Board of a quorum consisting of Disinterested Directors or (ii) if a quorum of the Board consisting of Disinterested Directors is not obtainable, by Independent Legal Counsel in a written opinion to the Board, a copy of which shall be delivered to the Board Director. The Board Director agrees that the delivery of such opinion to the Board Director does not constitute a waiver of any privilege or doctrine, including the attorney-client privilege and the work product doctrine, with respect to any other communication between the Independent Legal Counsel and its client or clients.</w:t>
      </w:r>
    </w:p>
    <w:p>
      <w:pPr>
        <w:spacing w:after="0" w:line="137" w:lineRule="exact"/>
        <w:rPr>
          <w:rFonts w:ascii="Times New Roman" w:cs="Times New Roman" w:eastAsia="Times New Roman" w:hAnsi="Times New Roman"/>
          <w:sz w:val="14"/>
          <w:szCs w:val="14"/>
          <w:color w:val="auto"/>
        </w:rPr>
      </w:pPr>
    </w:p>
    <w:p>
      <w:pPr>
        <w:ind w:left="-647" w:firstLine="647"/>
        <w:spacing w:after="0" w:line="245" w:lineRule="auto"/>
        <w:tabs>
          <w:tab w:leader="none" w:pos="27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a determination is made that the Board Director is not entitled to indemnification under this Exhibit or (ii) a claim for indemnification or advancement of Expenses under this Exhibit is not paid by the Company within thirty (30) days after receipt by the Company of written notice thereof, the Board Director is entitled to an adjudication in any court of competent jurisdiction. Such judicial proceeding shall be made de novo. The burden of proving that indemnification or advances are not appropriate shall be on the Company. Neither the failure of the directors of the Company or Independent Legal Counsel to have made a determination prior to the commencement of such action that indemnification or advancement of Expenses is proper in the circumstances because the Board Director has met the applicable standard of conduct, if any, nor an actual determination by the directors of the Company or Independent Legal Counsel that the Board Director has not met the applicable standard of conduct shall be a defense to an action by the Board Director or create a presumption for the purpose of such an action that the Board Director has not met the applicable standard of conduct. The termination of any Proceeding by judgment, order, settlement or conviction, or upon a plea of nolo contendere or its equivalent, shall not, of itself (i) create a presumption that the Board Director did not act in good faith and in a manner which he reasonably believed to be in the best interests of the Company and/or its shareholders, and, with respect to any criminal Proceeding, that the Board Director had reasonable cause to believe that his conduct was unlawful or (ii) otherwise adversely affect the rights of the Board Director to indemnification or advancement of Expenses under this Exhibit, except as may be provided herein.</w:t>
      </w:r>
    </w:p>
    <w:p>
      <w:pPr>
        <w:spacing w:after="0" w:line="174" w:lineRule="exact"/>
        <w:rPr>
          <w:rFonts w:ascii="Times New Roman" w:cs="Times New Roman" w:eastAsia="Times New Roman" w:hAnsi="Times New Roman"/>
          <w:sz w:val="16"/>
          <w:szCs w:val="16"/>
          <w:color w:val="auto"/>
        </w:rPr>
      </w:pPr>
    </w:p>
    <w:p>
      <w:pPr>
        <w:ind w:left="-647" w:right="200" w:firstLine="647"/>
        <w:spacing w:after="0" w:line="340" w:lineRule="auto"/>
        <w:tabs>
          <w:tab w:leader="none" w:pos="27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of competent jurisdiction shall determine that the Board Director is entitled to any indemnification or advancement of Expenses hereunder, the Company shall pay all Expenses actually and reasonably incurred by the Board Director in connection with such adjudication (including, but not limited to, any appellate proceedings).</w:t>
      </w:r>
    </w:p>
    <w:p>
      <w:pPr>
        <w:spacing w:after="0" w:line="104" w:lineRule="exact"/>
        <w:rPr>
          <w:rFonts w:ascii="Times New Roman" w:cs="Times New Roman" w:eastAsia="Times New Roman" w:hAnsi="Times New Roman"/>
          <w:sz w:val="14"/>
          <w:szCs w:val="14"/>
          <w:color w:val="auto"/>
        </w:rPr>
      </w:pPr>
    </w:p>
    <w:p>
      <w:pPr>
        <w:jc w:val="both"/>
        <w:ind w:left="-647" w:right="20" w:firstLine="647"/>
        <w:spacing w:after="0" w:line="251" w:lineRule="auto"/>
        <w:tabs>
          <w:tab w:leader="none" w:pos="26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Board Director. After notice from the Company to the Board Director of its election to assume the defense of a Proceeding, the Company will not be liable to the Board Director under this Exhibit for any Expenses subsequently incurred by the Board Director in connection with the defense thereof, other than as provided below.</w:t>
      </w:r>
    </w:p>
    <w:p>
      <w:pPr>
        <w:spacing w:after="0" w:line="163" w:lineRule="exact"/>
        <w:rPr>
          <w:rFonts w:ascii="Times New Roman" w:cs="Times New Roman" w:eastAsia="Times New Roman" w:hAnsi="Times New Roman"/>
          <w:sz w:val="16"/>
          <w:szCs w:val="16"/>
          <w:color w:val="auto"/>
        </w:rPr>
      </w:pPr>
    </w:p>
    <w:p>
      <w:pPr>
        <w:ind w:left="-647" w:right="20" w:firstLine="647"/>
        <w:spacing w:after="0" w:line="247" w:lineRule="auto"/>
        <w:tabs>
          <w:tab w:leader="none" w:pos="25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settle any Proceeding in any manner which would impose any penalty or limitation on the Board Director without the Board Director’s written consent. The Board Director shall have the right to employ his own counsel in any Proceeding, but the fees and expenses of such counsel incurred after notice from the Company of its assumption of the defense of the Proceeding shall be at the expense of the Board Director, unless (i) the employment of counsel by the Board Director has been authorized by the Company, (ii) the Board Director shall have reasonably concluded that there may be a conflict of interest between the Company and the Board Director in the conduct of the defense of a Proceeding, or (iii) the Company shall not in fact have employed counsel to assume the defense of a proceeding, in each of which cases the fees and expenses of the Board Director’s counsel shall be advanced by the Company. The Company shall not be entitled to assume the defense of any Proceeding brought by or on behalf of the Company or as to which the Board Director has reasonably concluded that there may be a conflict of interest between the Company and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309880</wp:posOffset>
            </wp:positionV>
            <wp:extent cx="715073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593"/>
          </w:cols>
          <w:pgMar w:left="967" w:top="520" w:right="339" w:bottom="1440" w:gutter="0" w:footer="0" w:header="0"/>
        </w:sectPr>
      </w:pPr>
    </w:p>
    <w:bookmarkStart w:id="78" w:name="page79"/>
    <w:bookmarkEnd w:id="78"/>
    <w:p>
      <w:pPr>
        <w:jc w:val="both"/>
        <w:ind w:left="-367" w:right="340" w:firstLine="647"/>
        <w:spacing w:after="0" w:line="255" w:lineRule="auto"/>
        <w:tabs>
          <w:tab w:leader="none" w:pos="55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Director shall give the Company such information and cooperation as it may reasonably require and as shall be within Board Director’s power. Subject to Section 3, the Company shall not be liable to indemnify the Board Director under this Exhibit with regard to any judicial action if the Company was not given a reasonable and timely opportunity, at its expense, to participate in the defense, conduct and/or settlement of such action.</w:t>
      </w:r>
    </w:p>
    <w:p>
      <w:pPr>
        <w:spacing w:after="0" w:line="160" w:lineRule="exact"/>
        <w:rPr>
          <w:rFonts w:ascii="Times New Roman" w:cs="Times New Roman" w:eastAsia="Times New Roman" w:hAnsi="Times New Roman"/>
          <w:sz w:val="16"/>
          <w:szCs w:val="16"/>
          <w:color w:val="auto"/>
        </w:rPr>
      </w:pPr>
    </w:p>
    <w:p>
      <w:pPr>
        <w:ind w:left="-367" w:right="660" w:firstLine="367"/>
        <w:spacing w:after="0" w:line="267" w:lineRule="auto"/>
        <w:tabs>
          <w:tab w:leader="none" w:pos="27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Indemnification.</w:t>
      </w:r>
      <w:r>
        <w:rPr>
          <w:rFonts w:ascii="Times New Roman" w:cs="Times New Roman" w:eastAsia="Times New Roman" w:hAnsi="Times New Roman"/>
          <w:sz w:val="16"/>
          <w:szCs w:val="16"/>
          <w:color w:val="auto"/>
        </w:rPr>
        <w:t xml:space="preserve"> Notwithstanding any provision in this Exhibit, the Company shall not be obligated under this Exhibit to make any indemnity in connection with any claim made against the Board Director:</w:t>
      </w:r>
    </w:p>
    <w:p>
      <w:pPr>
        <w:spacing w:after="0" w:line="150" w:lineRule="exact"/>
        <w:rPr>
          <w:rFonts w:ascii="Times New Roman" w:cs="Times New Roman" w:eastAsia="Times New Roman" w:hAnsi="Times New Roman"/>
          <w:sz w:val="16"/>
          <w:szCs w:val="16"/>
          <w:color w:val="auto"/>
        </w:rPr>
      </w:pPr>
    </w:p>
    <w:p>
      <w:pPr>
        <w:ind w:left="-367" w:right="100" w:firstLine="647"/>
        <w:spacing w:after="0" w:line="248" w:lineRule="auto"/>
        <w:tabs>
          <w:tab w:leader="none" w:pos="55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Proceeding initiated or brought voluntarily by the Board Director and not by way of defense, unless (i) the Board authorized the Proceeding prior to its initiation or (ii) the Proceeding is to enforce indemnification rights under this Exhibit, the Articles, applicable law or otherwise and either (A) Board Director is successful in such Proceeding in establishing Board Director’s right, in whole or in part, to indemnification or advancement of Expenses hereunder (in which case such indemnification or advancement shall be to the fullest extent permitted by this Exhibit) or (B) the court in such Proceeding shall determine that, despite Board Director’s failure to establish his right to indemnification, Board Director is entitled to indemnity for such expenses (in which case such indemnification or advancement shall be to the extent provided by such court);</w:t>
      </w:r>
    </w:p>
    <w:p>
      <w:pPr>
        <w:spacing w:after="0" w:line="166" w:lineRule="exact"/>
        <w:rPr>
          <w:rFonts w:ascii="Times New Roman" w:cs="Times New Roman" w:eastAsia="Times New Roman" w:hAnsi="Times New Roman"/>
          <w:sz w:val="16"/>
          <w:szCs w:val="16"/>
          <w:color w:val="auto"/>
        </w:rPr>
      </w:pPr>
    </w:p>
    <w:p>
      <w:pPr>
        <w:ind w:left="-367" w:firstLine="647"/>
        <w:spacing w:after="0" w:line="255" w:lineRule="auto"/>
        <w:tabs>
          <w:tab w:leader="none" w:pos="55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Board Director preparing to serve or serving as a witness in voluntary cooperation with any non-governmental or non-regulatory party or entity who or which has threatened or commenced any action or proceeding against the Company, or any director, officer, employee, trustee, agent, representative, subsidiary, parent corporation or affiliate of the Company, but such indemnification may be provided by the Company if the Board finds it to be appropriate;</w:t>
      </w:r>
    </w:p>
    <w:p>
      <w:pPr>
        <w:spacing w:after="0" w:line="160" w:lineRule="exact"/>
        <w:rPr>
          <w:rFonts w:ascii="Times New Roman" w:cs="Times New Roman" w:eastAsia="Times New Roman" w:hAnsi="Times New Roman"/>
          <w:sz w:val="16"/>
          <w:szCs w:val="16"/>
          <w:color w:val="auto"/>
        </w:rPr>
      </w:pPr>
    </w:p>
    <w:p>
      <w:pPr>
        <w:ind w:left="-367" w:right="60" w:firstLine="647"/>
        <w:spacing w:after="0" w:line="267" w:lineRule="auto"/>
        <w:tabs>
          <w:tab w:leader="none" w:pos="55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which payment has actually been made to the Board Director under a valid and collectible insurance policy, except in respect of any excess beyond the amount of payment under such insurance policy;</w:t>
      </w:r>
    </w:p>
    <w:p>
      <w:pPr>
        <w:spacing w:after="0" w:line="150" w:lineRule="exact"/>
        <w:rPr>
          <w:rFonts w:ascii="Times New Roman" w:cs="Times New Roman" w:eastAsia="Times New Roman" w:hAnsi="Times New Roman"/>
          <w:sz w:val="16"/>
          <w:szCs w:val="16"/>
          <w:color w:val="auto"/>
        </w:rPr>
      </w:pPr>
    </w:p>
    <w:p>
      <w:pPr>
        <w:ind w:left="-287" w:right="40" w:firstLine="567"/>
        <w:spacing w:after="0" w:line="267" w:lineRule="auto"/>
        <w:tabs>
          <w:tab w:leader="none" w:pos="54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 accounting of profits made from the purchase or sale by the Board Director of securities of the Company pursuant to the provisions of Section 16(b) of the Act or similar provisions of any federal, state or local statute or regulation;</w:t>
      </w:r>
    </w:p>
    <w:p>
      <w:pPr>
        <w:spacing w:after="0" w:line="150" w:lineRule="exact"/>
        <w:rPr>
          <w:rFonts w:ascii="Times New Roman" w:cs="Times New Roman" w:eastAsia="Times New Roman" w:hAnsi="Times New Roman"/>
          <w:sz w:val="16"/>
          <w:szCs w:val="16"/>
          <w:color w:val="auto"/>
        </w:rPr>
      </w:pPr>
    </w:p>
    <w:p>
      <w:pPr>
        <w:ind w:left="553" w:hanging="273"/>
        <w:spacing w:after="0"/>
        <w:tabs>
          <w:tab w:leader="none" w:pos="553"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court of competent jurisdiction finally determines that such indemnification is unlawful;</w:t>
      </w:r>
    </w:p>
    <w:p>
      <w:pPr>
        <w:spacing w:after="0" w:line="189" w:lineRule="exact"/>
        <w:rPr>
          <w:rFonts w:ascii="Times New Roman" w:cs="Times New Roman" w:eastAsia="Times New Roman" w:hAnsi="Times New Roman"/>
          <w:sz w:val="16"/>
          <w:szCs w:val="16"/>
          <w:color w:val="auto"/>
        </w:rPr>
      </w:pPr>
    </w:p>
    <w:p>
      <w:pPr>
        <w:ind w:left="-287" w:right="20" w:firstLine="567"/>
        <w:spacing w:after="0" w:line="267" w:lineRule="auto"/>
        <w:tabs>
          <w:tab w:leader="none" w:pos="51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proviso in Section 6(a) hereof, in connection with any dispute or breach arising under any contract or similar obligation between the Company or any of its subsidiaries or affiliates and such Board Director.</w:t>
      </w:r>
    </w:p>
    <w:p>
      <w:pPr>
        <w:spacing w:after="0" w:line="150" w:lineRule="exact"/>
        <w:rPr>
          <w:rFonts w:ascii="Times New Roman" w:cs="Times New Roman" w:eastAsia="Times New Roman" w:hAnsi="Times New Roman"/>
          <w:sz w:val="16"/>
          <w:szCs w:val="16"/>
          <w:color w:val="auto"/>
        </w:rPr>
      </w:pPr>
    </w:p>
    <w:p>
      <w:pPr>
        <w:ind w:left="-367" w:right="160" w:firstLine="367"/>
        <w:spacing w:after="0" w:line="309" w:lineRule="auto"/>
        <w:tabs>
          <w:tab w:leader="none" w:pos="27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To the extent the Company maintains a Directors &amp; Officers liability insurance policy, the Board Director shall be covered to the fullest extent available for acts performed in the capacity of a director or while serving at the Company’s request for another enterprise. Such insurance shall provide for the advancement of defense costs in accordance with the indemnification provisions herein and shall be complementary to, and shall not limit, the Board Director’s rights to indemnification under this Agreement.</w:t>
      </w:r>
    </w:p>
    <w:p>
      <w:pPr>
        <w:spacing w:after="0" w:line="125" w:lineRule="exact"/>
        <w:rPr>
          <w:rFonts w:ascii="Times New Roman" w:cs="Times New Roman" w:eastAsia="Times New Roman" w:hAnsi="Times New Roman"/>
          <w:sz w:val="14"/>
          <w:szCs w:val="14"/>
          <w:color w:val="auto"/>
        </w:rPr>
      </w:pPr>
    </w:p>
    <w:p>
      <w:pPr>
        <w:ind w:left="-367" w:right="120" w:firstLine="367"/>
        <w:spacing w:after="0" w:line="249" w:lineRule="auto"/>
        <w:tabs>
          <w:tab w:leader="none" w:pos="27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Continuation of Indemnification.</w:t>
      </w:r>
      <w:r>
        <w:rPr>
          <w:rFonts w:ascii="Times New Roman" w:cs="Times New Roman" w:eastAsia="Times New Roman" w:hAnsi="Times New Roman"/>
          <w:sz w:val="16"/>
          <w:szCs w:val="16"/>
          <w:color w:val="auto"/>
        </w:rPr>
        <w:t xml:space="preserve"> All Exhibits and obligations of the Company contained herein shall continue during the period that the Board Director is a director of the Company (or is or was serving at the request of the Company as an agent of another enterprise, foreign or domestic) and shall continue thereafter so long as the Board Director shall be subject to any Proceeding by reason of the fact that the Board Director is or was a director of the Company or is or was serving in any other capacity referred to in this Section 8. This Exhibit shall continue in effect regardless of whether the Board Director continues to serve as a director of the Company or as an agent of another enterprise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308610</wp:posOffset>
            </wp:positionV>
            <wp:extent cx="715073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73"/>
          </w:cols>
          <w:pgMar w:left="687" w:top="520" w:right="339" w:bottom="1440" w:gutter="0" w:footer="0" w:header="0"/>
        </w:sectPr>
      </w:pPr>
    </w:p>
    <w:bookmarkStart w:id="79" w:name="page80"/>
    <w:bookmarkEnd w:id="79"/>
    <w:p>
      <w:pPr>
        <w:jc w:val="both"/>
        <w:ind w:left="-367" w:right="360" w:firstLine="367"/>
        <w:spacing w:after="0" w:line="251" w:lineRule="auto"/>
        <w:tabs>
          <w:tab w:leader="none" w:pos="27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Hereunder Not Exclusive.</w:t>
      </w:r>
      <w:r>
        <w:rPr>
          <w:rFonts w:ascii="Times New Roman" w:cs="Times New Roman" w:eastAsia="Times New Roman" w:hAnsi="Times New Roman"/>
          <w:sz w:val="16"/>
          <w:szCs w:val="16"/>
          <w:color w:val="auto"/>
        </w:rPr>
        <w:t xml:space="preserve"> The indemnification provided by this Exhibit shall not be deemed to be exclusive of any other rights to which the Board Director may be entitled under the Articles, Director Appointment Letter, any Exhibit, vote of shareholders or vote of Disinterested Directors, provisions of applicable law, or otherwise, both as to action or omission in the Board Director’s official capacity and as to action or omission in another capacity on behalf of the Company while holding such office.</w:t>
      </w:r>
    </w:p>
    <w:p>
      <w:pPr>
        <w:spacing w:after="0" w:line="163" w:lineRule="exact"/>
        <w:rPr>
          <w:rFonts w:ascii="Times New Roman" w:cs="Times New Roman" w:eastAsia="Times New Roman" w:hAnsi="Times New Roman"/>
          <w:sz w:val="16"/>
          <w:szCs w:val="16"/>
          <w:color w:val="auto"/>
        </w:rPr>
      </w:pPr>
    </w:p>
    <w:p>
      <w:pPr>
        <w:ind w:left="-367" w:firstLine="367"/>
        <w:spacing w:after="0" w:line="255" w:lineRule="auto"/>
        <w:tabs>
          <w:tab w:leader="none" w:pos="31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 To Serve.</w:t>
      </w:r>
      <w:r>
        <w:rPr>
          <w:rFonts w:ascii="Times New Roman" w:cs="Times New Roman" w:eastAsia="Times New Roman" w:hAnsi="Times New Roman"/>
          <w:sz w:val="16"/>
          <w:szCs w:val="16"/>
          <w:color w:val="auto"/>
        </w:rPr>
        <w:t xml:space="preserve"> The Company acknowledges that it has entered into this Exhibit and assumes the obligations imposed on it hereby, in addition to and separate from its obligations to Board Director under the Articles, Director Appointment Letter or otherwise to induce Board Director to serve, or continue to serve, as a director of the Company, and the Company acknowledges that Board Director is relying upon this Exhibit in serving as a director of the Company.</w:t>
      </w:r>
    </w:p>
    <w:p>
      <w:pPr>
        <w:spacing w:after="0" w:line="160" w:lineRule="exact"/>
        <w:rPr>
          <w:rFonts w:ascii="Times New Roman" w:cs="Times New Roman" w:eastAsia="Times New Roman" w:hAnsi="Times New Roman"/>
          <w:sz w:val="16"/>
          <w:szCs w:val="16"/>
          <w:color w:val="auto"/>
        </w:rPr>
      </w:pPr>
    </w:p>
    <w:p>
      <w:pPr>
        <w:ind w:left="-367" w:right="160" w:firstLine="367"/>
        <w:spacing w:after="0" w:line="267" w:lineRule="auto"/>
        <w:tabs>
          <w:tab w:leader="none" w:pos="35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of Exhibit.</w:t>
      </w:r>
      <w:r>
        <w:rPr>
          <w:rFonts w:ascii="Times New Roman" w:cs="Times New Roman" w:eastAsia="Times New Roman" w:hAnsi="Times New Roman"/>
          <w:sz w:val="16"/>
          <w:szCs w:val="16"/>
          <w:color w:val="auto"/>
        </w:rPr>
        <w:t xml:space="preserve"> It is understood that the parties hereto intend this Exhibit to be interpreted and enforced so as to provide indemnification to Board Director to the fullest extent now or hereafter permitted by law.</w:t>
      </w:r>
    </w:p>
    <w:p>
      <w:pPr>
        <w:spacing w:after="0" w:line="150" w:lineRule="exact"/>
        <w:rPr>
          <w:rFonts w:ascii="Times New Roman" w:cs="Times New Roman" w:eastAsia="Times New Roman" w:hAnsi="Times New Roman"/>
          <w:sz w:val="16"/>
          <w:szCs w:val="16"/>
          <w:color w:val="auto"/>
        </w:rPr>
      </w:pPr>
    </w:p>
    <w:p>
      <w:pPr>
        <w:ind w:left="-367" w:right="200" w:firstLine="367"/>
        <w:spacing w:after="0" w:line="251" w:lineRule="auto"/>
        <w:tabs>
          <w:tab w:leader="none" w:pos="35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Subrogation.</w:t>
      </w:r>
      <w:r>
        <w:rPr>
          <w:rFonts w:ascii="Times New Roman" w:cs="Times New Roman" w:eastAsia="Times New Roman" w:hAnsi="Times New Roman"/>
          <w:sz w:val="16"/>
          <w:szCs w:val="16"/>
          <w:color w:val="auto"/>
        </w:rPr>
        <w:t xml:space="preserve"> In the event of payment under this Exhibit, the Company shall be subrogated to the extent of such payment to all of the rights of recovery of the Board Director, who shall execute all documents required and shall do all acts that may be necessary to secure such rights and to enable the Company effectively to bring suit to enforce such rights separate and distinct so that if any section, sentence, term or provision thereof shall be held to be invalid, unlawful or unenforceable for any reason, such invalidity, unlawfulness or unenforceability shall not affect the validity, lawfulness or enforceability of any other section, sentence, term or provision hereof.</w:t>
      </w:r>
    </w:p>
    <w:p>
      <w:pPr>
        <w:spacing w:after="0" w:line="163" w:lineRule="exact"/>
        <w:rPr>
          <w:rFonts w:ascii="Times New Roman" w:cs="Times New Roman" w:eastAsia="Times New Roman" w:hAnsi="Times New Roman"/>
          <w:sz w:val="16"/>
          <w:szCs w:val="16"/>
          <w:color w:val="auto"/>
        </w:rPr>
      </w:pPr>
    </w:p>
    <w:p>
      <w:pPr>
        <w:ind w:left="-367" w:right="40" w:firstLine="367"/>
        <w:spacing w:after="0" w:line="299" w:lineRule="auto"/>
        <w:tabs>
          <w:tab w:leader="none" w:pos="3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Savings Clause.</w:t>
      </w:r>
      <w:r>
        <w:rPr>
          <w:rFonts w:ascii="Times New Roman" w:cs="Times New Roman" w:eastAsia="Times New Roman" w:hAnsi="Times New Roman"/>
          <w:sz w:val="14"/>
          <w:szCs w:val="14"/>
          <w:color w:val="auto"/>
        </w:rPr>
        <w:t xml:space="preserve"> If this Exhibit or any section, sentence, term or provision hereof is invalidated on any ground by any court of competent jurisdiction, the Company shall nevertheless indemnify the Board Director as to any Expenses which are incurred with respect to any Proceeding to the fullest extent permitted by any (a) applicable section, sentence, term or provision of this Exhibit that has not been invalidated or (b) applicable law. To the extent required, any section, sentence, term or provision of this Exhibit may be modified by a court of competent jurisdiction to preserve its validity and to provide the Board Director with the broadest possible indemnification permitted under applicable law.</w:t>
      </w:r>
    </w:p>
    <w:p>
      <w:pPr>
        <w:sectPr>
          <w:pgSz w:w="11900" w:h="16838" w:orient="portrait"/>
          <w:cols w:equalWidth="0" w:num="1">
            <w:col w:w="10873"/>
          </w:cols>
          <w:pgMar w:left="687" w:top="52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Exhibit 10.15</w:t>
      </w:r>
    </w:p>
    <w:p>
      <w:pPr>
        <w:spacing w:after="0" w:line="1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Board Member Agreement</w:t>
      </w:r>
    </w:p>
    <w:p>
      <w:pPr>
        <w:spacing w:after="0" w:line="189"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This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dated as of the </w:t>
      </w:r>
      <w:r>
        <w:rPr>
          <w:rFonts w:ascii="Times New Roman" w:cs="Times New Roman" w:eastAsia="Times New Roman" w:hAnsi="Times New Roman"/>
          <w:sz w:val="16"/>
          <w:szCs w:val="16"/>
          <w:u w:val="single" w:color="auto"/>
          <w:color w:val="auto"/>
        </w:rPr>
        <w:t>29th</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_August_</w:t>
      </w:r>
      <w:r>
        <w:rPr>
          <w:rFonts w:ascii="Times New Roman" w:cs="Times New Roman" w:eastAsia="Times New Roman" w:hAnsi="Times New Roman"/>
          <w:sz w:val="16"/>
          <w:szCs w:val="16"/>
          <w:color w:val="auto"/>
        </w:rPr>
        <w:t xml:space="preserve"> 2025, is between, </w:t>
      </w:r>
      <w:r>
        <w:rPr>
          <w:rFonts w:ascii="Times New Roman" w:cs="Times New Roman" w:eastAsia="Times New Roman" w:hAnsi="Times New Roman"/>
          <w:sz w:val="16"/>
          <w:szCs w:val="16"/>
          <w:u w:val="single" w:color="auto"/>
          <w:color w:val="auto"/>
        </w:rPr>
        <w:t>David Soffer</w:t>
      </w:r>
      <w:r>
        <w:rPr>
          <w:rFonts w:ascii="Times New Roman" w:cs="Times New Roman" w:eastAsia="Times New Roman" w:hAnsi="Times New Roman"/>
          <w:sz w:val="16"/>
          <w:szCs w:val="16"/>
          <w:color w:val="auto"/>
        </w:rPr>
        <w:t>, an individual having a residence at 1910 Sommerfield Ave, Saskatoon, Canada, (the “</w:t>
      </w:r>
      <w:r>
        <w:rPr>
          <w:rFonts w:ascii="Times New Roman" w:cs="Times New Roman" w:eastAsia="Times New Roman" w:hAnsi="Times New Roman"/>
          <w:sz w:val="16"/>
          <w:szCs w:val="16"/>
          <w:u w:val="single" w:color="auto"/>
          <w:color w:val="auto"/>
        </w:rPr>
        <w:t>Board Director</w:t>
      </w:r>
      <w:r>
        <w:rPr>
          <w:rFonts w:ascii="Times New Roman" w:cs="Times New Roman" w:eastAsia="Times New Roman" w:hAnsi="Times New Roman"/>
          <w:sz w:val="16"/>
          <w:szCs w:val="16"/>
          <w:color w:val="auto"/>
        </w:rPr>
        <w:t>”), and XBiotech Inc., a Canadian corporation with a place of business at 300-1055 West Hastings Street, Vancouver BC V6E 2E9 Canada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enter into this Agreement setting forth the terms and conditions of the Board Director with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89" w:lineRule="exact"/>
        <w:rPr>
          <w:sz w:val="20"/>
          <w:szCs w:val="20"/>
          <w:color w:val="auto"/>
        </w:rPr>
      </w:pPr>
    </w:p>
    <w:p>
      <w:pPr>
        <w:ind w:left="840" w:right="80" w:hanging="286"/>
        <w:spacing w:after="0" w:line="267" w:lineRule="auto"/>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 effective as of the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upon which the Board Director becomes a duly elected or appointed member of the Board of Directors of the Company (the “Board”).</w:t>
      </w:r>
    </w:p>
    <w:p>
      <w:pPr>
        <w:spacing w:after="0" w:line="150" w:lineRule="exact"/>
        <w:rPr>
          <w:rFonts w:ascii="Times New Roman" w:cs="Times New Roman" w:eastAsia="Times New Roman" w:hAnsi="Times New Roman"/>
          <w:sz w:val="16"/>
          <w:szCs w:val="16"/>
          <w:color w:val="auto"/>
        </w:rPr>
      </w:pPr>
    </w:p>
    <w:p>
      <w:pPr>
        <w:ind w:left="840" w:right="280" w:hanging="286"/>
        <w:spacing w:after="0" w:line="267" w:lineRule="auto"/>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commence on the Effective Date and shall remain in effect until such time as the Board Director resigns, is removed, dies or otherwise ceases to be a member of the Board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w:t>
      </w:r>
    </w:p>
    <w:p>
      <w:pPr>
        <w:spacing w:after="0" w:line="150" w:lineRule="exact"/>
        <w:rPr>
          <w:rFonts w:ascii="Times New Roman" w:cs="Times New Roman" w:eastAsia="Times New Roman" w:hAnsi="Times New Roman"/>
          <w:sz w:val="16"/>
          <w:szCs w:val="16"/>
          <w:color w:val="auto"/>
        </w:rPr>
      </w:pPr>
    </w:p>
    <w:p>
      <w:pPr>
        <w:ind w:left="840" w:hanging="286"/>
        <w:spacing w:after="0"/>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During the Term, the Board Director shall act as a member of the Board (a “Board Member”) to the Company.</w:t>
      </w:r>
    </w:p>
    <w:p>
      <w:pPr>
        <w:spacing w:after="0" w:line="212" w:lineRule="exact"/>
        <w:rPr>
          <w:rFonts w:ascii="Times New Roman" w:cs="Times New Roman" w:eastAsia="Times New Roman" w:hAnsi="Times New Roman"/>
          <w:sz w:val="16"/>
          <w:szCs w:val="16"/>
          <w:color w:val="auto"/>
        </w:rPr>
      </w:pPr>
    </w:p>
    <w:p>
      <w:pPr>
        <w:ind w:left="840" w:right="100" w:hanging="286"/>
        <w:spacing w:after="0" w:line="249" w:lineRule="auto"/>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 and Reporting Relationship</w:t>
      </w:r>
      <w:r>
        <w:rPr>
          <w:rFonts w:ascii="Times New Roman" w:cs="Times New Roman" w:eastAsia="Times New Roman" w:hAnsi="Times New Roman"/>
          <w:sz w:val="16"/>
          <w:szCs w:val="16"/>
          <w:color w:val="auto"/>
        </w:rPr>
        <w:t>. During the Term, the Board Director shall be generally available for mutually agreed times during business hours. The Board Director agrees that he shall represent the Company as a Board Member. Such representations may be made by the Company in SEC filings, during Presentations, Business Plans, on the Company Website, or any other place deemed fit by the Company. The Company may request that you participate in discussions, as suitable to your schedule and availability, with third parties from time to time. The Board Director may be asked to serve as a member and/or as chair of one or more committees of the Board.</w:t>
      </w:r>
    </w:p>
    <w:p>
      <w:pPr>
        <w:spacing w:after="0" w:line="165" w:lineRule="exact"/>
        <w:rPr>
          <w:rFonts w:ascii="Times New Roman" w:cs="Times New Roman" w:eastAsia="Times New Roman" w:hAnsi="Times New Roman"/>
          <w:sz w:val="16"/>
          <w:szCs w:val="16"/>
          <w:color w:val="auto"/>
        </w:rPr>
      </w:pPr>
    </w:p>
    <w:p>
      <w:pPr>
        <w:ind w:left="840" w:right="20" w:hanging="286"/>
        <w:spacing w:after="0" w:line="245" w:lineRule="auto"/>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Subject to Board of Directors or Compensation Committee approval during each year of service, Board Director shall receive an annual cash retainer of $70,000, with additional annual retainers of $30,000 for service as a Committee Chair and $20,000 for service as a Committee Member. The Board Director shall serve as Member of Audit Committee and shall receive a total annual retainer of $90,000, prorated based on the Board Director’s period of service during the fiscal year and subject to adjustment from time to time by the Compensation Committee. In addition, Board Director will be granted non-qualified stock options under the Company’s 2025 Equity Incentive Plan (the “Plan”) to purchase 51,000 shares of the Company’s common stock, representing a prorated portion of the annual grant for the year 2025. During Board Director’s service as a Board Member in years following 2025, subject to Board of Directors or Compensation Committee approval during each year of service, the Board Director will be granted 40,000 options annually, with additional 16,000 for service as a Committee Chair and 11,000 for service as a Committee Member on or about the date of the Company’s annual stockholders meeting. All granted options will be exercisable at a price equal to the closing price of the Company’s common stock, as reported by NASDAQ, on the date of grant, and vest in 12 months following the date of grant, subject to continued service as a Board Member (the “Options”). The Options shall expire ten years from the date of grant, unless terminated earlier in accordance with the Plan or the Board Director’s stock option agreement. In accordance with the Plan, the Options will remain exercisable for 90 days after the date of the Board Director’s termination without cause or resignation. The Board Director’s compensation for service as a Committee Chair, Committee Member, or Board Director (collectively, “Board Service”), including but not limited to time spent preparing for or attending Board or Committee meetings, shall be limited to the annual retainer payments and equity grants set forth in the prior sentences of Paragraph 5. Notwithstanding the foregoing, nothing herein shall limit the Board of Directors or Compensation Committee from approving additional compensation for Board Director if the Board of Directors or Compensation Committee determines that such additional compensation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310515</wp:posOffset>
            </wp:positionV>
            <wp:extent cx="715073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1" w:name="page82"/>
    <w:bookmarkEnd w:id="81"/>
    <w:p>
      <w:pPr>
        <w:ind w:left="286" w:right="100" w:hanging="286"/>
        <w:spacing w:after="0" w:line="251"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Expense</w:t>
      </w:r>
      <w:r>
        <w:rPr>
          <w:rFonts w:ascii="Times New Roman" w:cs="Times New Roman" w:eastAsia="Times New Roman" w:hAnsi="Times New Roman"/>
          <w:sz w:val="16"/>
          <w:szCs w:val="16"/>
          <w:color w:val="auto"/>
        </w:rPr>
        <w:t>. The Board Director shall be reimbursed for all ordinary and necessary business expenses incurred by the Board Director in connection with his agreement upon timely submission to the Company of receipts and other documentation as required by the Internal Revenue Code of 1986, as amended, and in conformance with the Company’s normal expense reimbursement policies and procedures. Board Director shall be entitled to reimbursement at first class commercial airline rate for transcontinental travel.</w:t>
      </w:r>
    </w:p>
    <w:p>
      <w:pPr>
        <w:spacing w:after="0" w:line="163" w:lineRule="exact"/>
        <w:rPr>
          <w:rFonts w:ascii="Times New Roman" w:cs="Times New Roman" w:eastAsia="Times New Roman" w:hAnsi="Times New Roman"/>
          <w:sz w:val="16"/>
          <w:szCs w:val="16"/>
          <w:color w:val="auto"/>
        </w:rPr>
      </w:pPr>
    </w:p>
    <w:p>
      <w:pPr>
        <w:ind w:left="286" w:right="40" w:hanging="286"/>
        <w:spacing w:after="0" w:line="267"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and Insurance</w:t>
      </w:r>
      <w:r>
        <w:rPr>
          <w:rFonts w:ascii="Times New Roman" w:cs="Times New Roman" w:eastAsia="Times New Roman" w:hAnsi="Times New Roman"/>
          <w:sz w:val="16"/>
          <w:szCs w:val="16"/>
          <w:color w:val="auto"/>
        </w:rPr>
        <w:t>. Exhibit A hereto, which is hereby incorporated herein as if set forth herein, sets forth certain agreements of the parties hereto in respect of indemnification and insurance.</w:t>
      </w:r>
    </w:p>
    <w:p>
      <w:pPr>
        <w:spacing w:after="0" w:line="150" w:lineRule="exact"/>
        <w:rPr>
          <w:rFonts w:ascii="Times New Roman" w:cs="Times New Roman" w:eastAsia="Times New Roman" w:hAnsi="Times New Roman"/>
          <w:sz w:val="16"/>
          <w:szCs w:val="16"/>
          <w:color w:val="auto"/>
        </w:rPr>
      </w:pPr>
    </w:p>
    <w:p>
      <w:pPr>
        <w:ind w:left="286" w:right="80" w:hanging="286"/>
        <w:spacing w:after="0" w:line="255"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the Agreement</w:t>
      </w:r>
      <w:r>
        <w:rPr>
          <w:rFonts w:ascii="Times New Roman" w:cs="Times New Roman" w:eastAsia="Times New Roman" w:hAnsi="Times New Roman"/>
          <w:sz w:val="16"/>
          <w:szCs w:val="16"/>
          <w:color w:val="auto"/>
        </w:rPr>
        <w:t>. The Board Director or the Company may terminate this agreement at any time for any reason. The Agreement hereunder shall automatically terminate upon the death of the Board Director. Any purported termination of the Board Director’s agreement by the Company or by the Board Director shall be communicated by written notice of termination to the other party hereto.</w:t>
      </w:r>
    </w:p>
    <w:p>
      <w:pPr>
        <w:spacing w:after="0" w:line="160" w:lineRule="exact"/>
        <w:rPr>
          <w:rFonts w:ascii="Times New Roman" w:cs="Times New Roman" w:eastAsia="Times New Roman" w:hAnsi="Times New Roman"/>
          <w:sz w:val="16"/>
          <w:szCs w:val="16"/>
          <w:color w:val="auto"/>
        </w:rPr>
      </w:pPr>
    </w:p>
    <w:p>
      <w:pPr>
        <w:ind w:left="286" w:right="200" w:hanging="286"/>
        <w:spacing w:after="0" w:line="248"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Compliance</w:t>
      </w:r>
      <w:r>
        <w:rPr>
          <w:rFonts w:ascii="Times New Roman" w:cs="Times New Roman" w:eastAsia="Times New Roman" w:hAnsi="Times New Roman"/>
          <w:sz w:val="16"/>
          <w:szCs w:val="16"/>
          <w:color w:val="auto"/>
        </w:rPr>
        <w:t>. The Board Director acknowledges receipt of, and has reviewed, the Company’s Insider Trading Policy, and covenants to comply fully with the terms thereof. The Board Director shall not, directly or indirectly, purchase, sell, or otherwise trade in any securities of the Company while in possession of material nonpublic information, during any trading blackout period, or in contravention of any pre-clearance or other procedures established under such Policy. Any trades executed pursuant to a Rule 10b5-1 trading plan shall be in strict accordance with the requirements of the Policy. The Board Director shall consult with the Company’s Compliance Officer with respect to any questions concerning material nonpublic information, pre-clearance, or the permissibility of any proposed transaction, and shall promptly report any known or suspected violations of the Policy or applicable securities laws.</w:t>
      </w:r>
    </w:p>
    <w:p>
      <w:pPr>
        <w:spacing w:after="0" w:line="166"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 and Warranties</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right="20" w:hanging="286"/>
        <w:spacing w:after="0" w:line="267" w:lineRule="auto"/>
        <w:tabs>
          <w:tab w:leader="none" w:pos="566"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this Agreement has been authorized by the Company and is a valid and binding agreement of the Company enforceable against it in accordance with its terms.</w:t>
      </w:r>
    </w:p>
    <w:p>
      <w:pPr>
        <w:spacing w:after="0" w:line="150" w:lineRule="exact"/>
        <w:rPr>
          <w:rFonts w:ascii="Times New Roman" w:cs="Times New Roman" w:eastAsia="Times New Roman" w:hAnsi="Times New Roman"/>
          <w:sz w:val="16"/>
          <w:szCs w:val="16"/>
          <w:color w:val="auto"/>
        </w:rPr>
      </w:pPr>
    </w:p>
    <w:p>
      <w:pPr>
        <w:ind w:left="566" w:right="200" w:hanging="286"/>
        <w:spacing w:after="0" w:line="267" w:lineRule="auto"/>
        <w:tabs>
          <w:tab w:leader="none" w:pos="566"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Director represents and warrants that he is not a party to any agreement or instrument which would prevent him from entering into or performing his duties under this Agreement.</w:t>
      </w:r>
    </w:p>
    <w:p>
      <w:pPr>
        <w:spacing w:after="0" w:line="150" w:lineRule="exact"/>
        <w:rPr>
          <w:rFonts w:ascii="Times New Roman" w:cs="Times New Roman" w:eastAsia="Times New Roman" w:hAnsi="Times New Roman"/>
          <w:sz w:val="16"/>
          <w:szCs w:val="16"/>
          <w:color w:val="auto"/>
        </w:rPr>
      </w:pPr>
    </w:p>
    <w:p>
      <w:pPr>
        <w:ind w:left="286" w:right="40" w:hanging="286"/>
        <w:spacing w:after="0" w:line="251"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The Board Director agrees to be subject to the Company’s reasonable policies concerning Confidentiality and Non-Disclosure as in effect from time to time. The Company agrees that nothing herein or therein shall prevent the Board Director from rendering services in any capacity to any other person or business from time to time, subject to the compliance with any confidentiality and non-disclosure obligations, to the Board Director’s obligations as a fiduciary of the Company and to applicable law.</w:t>
      </w:r>
    </w:p>
    <w:p>
      <w:pPr>
        <w:spacing w:after="0" w:line="163" w:lineRule="exact"/>
        <w:rPr>
          <w:rFonts w:ascii="Times New Roman" w:cs="Times New Roman" w:eastAsia="Times New Roman" w:hAnsi="Times New Roman"/>
          <w:sz w:val="16"/>
          <w:szCs w:val="16"/>
          <w:color w:val="auto"/>
        </w:rPr>
      </w:pPr>
    </w:p>
    <w:p>
      <w:pPr>
        <w:ind w:left="286" w:hanging="286"/>
        <w:spacing w:after="0" w:line="249" w:lineRule="auto"/>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Fiduciary Duties.</w:t>
      </w:r>
      <w:r>
        <w:rPr>
          <w:rFonts w:ascii="Times New Roman" w:cs="Times New Roman" w:eastAsia="Times New Roman" w:hAnsi="Times New Roman"/>
          <w:sz w:val="16"/>
          <w:szCs w:val="16"/>
          <w:color w:val="auto"/>
        </w:rPr>
        <w:t xml:space="preserve"> The Board Director acknowledges and agrees that, in serving as a Board Member, the Board Director owes fiduciary duties of loyalty and care to the Company and its stockholders under applicable law. The Board Director shall discharge such duties in good faith, with the care that an ordinarily prudent person in a like position would exercise under similar circumstances, and in a manner that the Board Director reasonably believes to be in the best interests of the Company and its stockholders. The Board Director shall avoid self-dealing, conflicts of interest, or other actions that would violate such fiduciary duties and shall promptly disclose to the Board any actual or potential conflicts of interest of which the Board Director becomes aware.</w:t>
      </w:r>
    </w:p>
    <w:p>
      <w:pPr>
        <w:spacing w:after="0" w:line="16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Binding Agreement</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assignable by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338455</wp:posOffset>
            </wp:positionV>
            <wp:extent cx="715073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520" w:right="319" w:bottom="1440" w:gutter="0" w:footer="0" w:header="0"/>
        </w:sectPr>
      </w:pPr>
    </w:p>
    <w:bookmarkStart w:id="82" w:name="page83"/>
    <w:bookmarkEnd w:id="82"/>
    <w:p>
      <w:pPr>
        <w:ind w:left="566" w:hanging="286"/>
        <w:spacing w:after="0" w:line="293" w:lineRule="auto"/>
        <w:tabs>
          <w:tab w:leader="none" w:pos="566"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a personal contract and the rights and interests of the Board Director hereunder may not be sold, transferred, assigned, pledged, encumbered, or hypothecated by him, except as otherwise expressly permitted by the provisions of this Agreement. This Agreement shall inure to the benefit of and be enforceable by the Board Director and his personal or legal representatives, executors, administrators, successors, heirs, distributes, devisees and legatees. If the Board Director should die while any amount would still be payable to him hereunder had the Board Director continued to live, all such amounts, unless otherwise provided herein, shall be paid in accordance with the terms of this Agreement to his devisee, legatee or other designee or, if there is no such designee, to his estate.</w:t>
      </w:r>
    </w:p>
    <w:p>
      <w:pPr>
        <w:spacing w:after="0" w:line="137" w:lineRule="exact"/>
        <w:rPr>
          <w:rFonts w:ascii="Times New Roman" w:cs="Times New Roman" w:eastAsia="Times New Roman" w:hAnsi="Times New Roman"/>
          <w:sz w:val="14"/>
          <w:szCs w:val="14"/>
          <w:color w:val="auto"/>
        </w:rPr>
      </w:pPr>
    </w:p>
    <w:p>
      <w:pPr>
        <w:jc w:val="both"/>
        <w:ind w:left="566" w:right="40" w:hanging="286"/>
        <w:spacing w:after="0" w:line="309" w:lineRule="auto"/>
        <w:tabs>
          <w:tab w:leader="none" w:pos="566"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hereunder may not be assigned by the Company without the prior written consent of the Board Director. This Agreement shall be binding upon and be enforceable against the Company’s successors (including any direct or indirect successor by purchase, merger, consolidation, or otherwise to all or substantially all of the business and/or assets of the Company) and assigns and against the Board Director’s personal and legal representatives.</w:t>
      </w:r>
    </w:p>
    <w:p>
      <w:pPr>
        <w:spacing w:after="0" w:line="125" w:lineRule="exact"/>
        <w:rPr>
          <w:rFonts w:ascii="Times New Roman" w:cs="Times New Roman" w:eastAsia="Times New Roman" w:hAnsi="Times New Roman"/>
          <w:sz w:val="14"/>
          <w:szCs w:val="14"/>
          <w:color w:val="auto"/>
        </w:rPr>
      </w:pPr>
    </w:p>
    <w:p>
      <w:pPr>
        <w:ind w:left="286" w:right="20" w:hanging="286"/>
        <w:spacing w:after="0" w:line="251" w:lineRule="auto"/>
        <w:tabs>
          <w:tab w:leader="none" w:pos="28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contains all the understandings between the parties hereto pertaining to the matters referred to herein, and on the Effective Date shall supersede all undertakings and agreements, whether oral or in writing, previously entered into by them with respect hereto. The Board Director represents that, in executing this Agreement, he does not rely and has not relied upon any representation or statement not set forth herein made by the Company with regard to the subject matter, bases or effect of this Agreement or otherwise.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1" w:lineRule="auto"/>
        <w:tabs>
          <w:tab w:leader="none" w:pos="28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or Modification; Waiver</w:t>
      </w:r>
      <w:r>
        <w:rPr>
          <w:rFonts w:ascii="Times New Roman" w:cs="Times New Roman" w:eastAsia="Times New Roman" w:hAnsi="Times New Roman"/>
          <w:sz w:val="16"/>
          <w:szCs w:val="16"/>
          <w:color w:val="auto"/>
        </w:rPr>
        <w:t>. No provision of this Agreement may be amended or waived unless such amendment or waiver is agreed to in writing, signed by the Board and by a duly authorized officer of the Company.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5" w:lineRule="auto"/>
        <w:tabs>
          <w:tab w:leader="none" w:pos="28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hereunder shall be in writing and shall be deemed given when delivered personally, sent by courier or telecopy (including e-mail transmission) or registered or certified mail, postage prepaid, return receipt requested, addressed to the party concerned at the address indicated below or to such other address as such party may subsequently give notice of hereunder in writing:</w:t>
      </w:r>
    </w:p>
    <w:p>
      <w:pPr>
        <w:spacing w:after="0" w:line="160" w:lineRule="exact"/>
        <w:rPr>
          <w:sz w:val="20"/>
          <w:szCs w:val="20"/>
          <w:color w:val="auto"/>
        </w:rPr>
      </w:pPr>
    </w:p>
    <w:tbl>
      <w:tblPr>
        <w:tblLayout w:type="fixed"/>
        <w:tblInd w:w="2266" w:type="dxa"/>
        <w:tblCellMar>
          <w:top w:w="0" w:type="dxa"/>
          <w:left w:w="0" w:type="dxa"/>
          <w:bottom w:w="0" w:type="dxa"/>
          <w:right w:w="0" w:type="dxa"/>
        </w:tblCellMar>
      </w:tblPr>
      <w:tr>
        <w:trPr>
          <w:trHeight w:val="18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Board</w:t>
            </w: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David Soffer</w:t>
            </w:r>
          </w:p>
        </w:tc>
        <w:tc>
          <w:tcPr>
            <w:tcW w:w="0" w:type="dxa"/>
            <w:vAlign w:val="bottom"/>
          </w:tcPr>
          <w:p>
            <w:pPr>
              <w:spacing w:after="0"/>
              <w:rPr>
                <w:sz w:val="1"/>
                <w:szCs w:val="1"/>
                <w:color w:val="auto"/>
              </w:rPr>
            </w:pPr>
          </w:p>
        </w:tc>
      </w:tr>
      <w:tr>
        <w:trPr>
          <w:trHeight w:val="109"/>
        </w:trPr>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 at:</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tcPr>
          <w:p>
            <w:pPr>
              <w:spacing w:after="0"/>
              <w:rPr>
                <w:sz w:val="8"/>
                <w:szCs w:val="8"/>
                <w:color w:val="auto"/>
              </w:rPr>
            </w:pP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1910 Sommerfield Ave,</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Saskatoon,</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Saskatchewan, S7J 2E3</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358"/>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Company at:</w:t>
            </w: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5"/>
              </w:rPr>
              <w:t>Attention: Sushma Shivaswamy,</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Interim CEO</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XBiotech, Inc.</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5217 Winnebago Ln</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Austin, TX 78744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 w:right="160"/>
        <w:spacing w:after="0" w:line="267" w:lineRule="auto"/>
        <w:rPr>
          <w:sz w:val="20"/>
          <w:szCs w:val="20"/>
          <w:color w:val="auto"/>
        </w:rPr>
      </w:pPr>
      <w:r>
        <w:rPr>
          <w:rFonts w:ascii="Times New Roman" w:cs="Times New Roman" w:eastAsia="Times New Roman" w:hAnsi="Times New Roman"/>
          <w:sz w:val="16"/>
          <w:szCs w:val="16"/>
          <w:color w:val="auto"/>
        </w:rPr>
        <w:t>Any Notice delivered personally or by courier under this Section 17 shall be deemed given on the date delivered and any notice sent by telecopy or registered or certified mail, postage paid, return receipt requested, shall be deemed given on the date telecopied or mailed.</w:t>
      </w:r>
    </w:p>
    <w:p>
      <w:pPr>
        <w:spacing w:after="0" w:line="174" w:lineRule="exact"/>
        <w:rPr>
          <w:sz w:val="20"/>
          <w:szCs w:val="20"/>
          <w:color w:val="auto"/>
        </w:rPr>
      </w:pPr>
    </w:p>
    <w:p>
      <w:pPr>
        <w:ind w:left="286" w:hanging="286"/>
        <w:spacing w:after="0" w:line="251" w:lineRule="auto"/>
        <w:tabs>
          <w:tab w:leader="none" w:pos="28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63" w:lineRule="exact"/>
        <w:rPr>
          <w:rFonts w:ascii="Times New Roman" w:cs="Times New Roman" w:eastAsia="Times New Roman" w:hAnsi="Times New Roman"/>
          <w:sz w:val="16"/>
          <w:szCs w:val="16"/>
          <w:color w:val="auto"/>
        </w:rPr>
      </w:pPr>
    </w:p>
    <w:p>
      <w:pPr>
        <w:ind w:left="286" w:right="300" w:hanging="286"/>
        <w:spacing w:after="0" w:line="267" w:lineRule="auto"/>
        <w:tabs>
          <w:tab w:leader="none" w:pos="28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Survivorship</w:t>
      </w:r>
      <w:r>
        <w:rPr>
          <w:rFonts w:ascii="Times New Roman" w:cs="Times New Roman" w:eastAsia="Times New Roman" w:hAnsi="Times New Roman"/>
          <w:sz w:val="16"/>
          <w:szCs w:val="16"/>
          <w:color w:val="auto"/>
        </w:rPr>
        <w:t>. The respective rights and obligations of the parties hereunder shall survive any termination of this Agreement to the extent necessary to the intended preservation of such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299085</wp:posOffset>
            </wp:positionV>
            <wp:extent cx="715073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83" w:name="page84"/>
    <w:bookmarkEnd w:id="83"/>
    <w:p>
      <w:pPr>
        <w:ind w:left="286" w:hanging="286"/>
        <w:spacing w:after="0" w:line="251" w:lineRule="auto"/>
        <w:tabs>
          <w:tab w:leader="none" w:pos="28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Jurisdiction</w:t>
      </w:r>
      <w:r>
        <w:rPr>
          <w:rFonts w:ascii="Times New Roman" w:cs="Times New Roman" w:eastAsia="Times New Roman" w:hAnsi="Times New Roman"/>
          <w:sz w:val="16"/>
          <w:szCs w:val="16"/>
          <w:color w:val="auto"/>
        </w:rPr>
        <w:t>. This Agreement will be governed by and construed in accordance with the laws of the State of Delaware, without regard to its conflicts of the laws principles. Each of the parties to this Agreement agrees that the courts of the States of Delaware and New York shall have exclusive jurisdiction to hear and determine any claim, suit, action or proceeding, and to settle any disputes, which may arise out of or are in any way related to or in connection with this Agreement.</w:t>
      </w:r>
    </w:p>
    <w:p>
      <w:pPr>
        <w:spacing w:after="0" w:line="163" w:lineRule="exact"/>
        <w:rPr>
          <w:rFonts w:ascii="Times New Roman" w:cs="Times New Roman" w:eastAsia="Times New Roman" w:hAnsi="Times New Roman"/>
          <w:sz w:val="16"/>
          <w:szCs w:val="16"/>
          <w:color w:val="auto"/>
        </w:rPr>
      </w:pPr>
    </w:p>
    <w:p>
      <w:pPr>
        <w:ind w:left="286" w:right="140" w:hanging="286"/>
        <w:spacing w:after="0" w:line="267" w:lineRule="auto"/>
        <w:tabs>
          <w:tab w:leader="none" w:pos="28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All descriptive headings of the sections and paragraphs in this Agreement are intended solely for convenience, and no provision of this Agreement is to be construed by reference to the heading of any section or paragraph</w:t>
      </w:r>
    </w:p>
    <w:p>
      <w:pPr>
        <w:spacing w:after="0" w:line="150" w:lineRule="exact"/>
        <w:rPr>
          <w:rFonts w:ascii="Times New Roman" w:cs="Times New Roman" w:eastAsia="Times New Roman" w:hAnsi="Times New Roman"/>
          <w:sz w:val="16"/>
          <w:szCs w:val="16"/>
          <w:color w:val="auto"/>
        </w:rPr>
      </w:pPr>
    </w:p>
    <w:p>
      <w:pPr>
        <w:ind w:left="286" w:hanging="286"/>
        <w:spacing w:after="0" w:line="255" w:lineRule="auto"/>
        <w:tabs>
          <w:tab w:leader="none" w:pos="28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parties agree to cooperate in respect of tax withholding and reporting consequences of the arrangements described herein. The parties acknowledge that there is no U.S. federal tax withholding requirement applicable under current law to the compensation described herein. The Company agrees to facilitate, to the extent reasonably practical, the performance of the Board Director’s services in a manner that minimizes the Board Director’s U.S. tax obligations.</w:t>
      </w:r>
    </w:p>
    <w:p>
      <w:pPr>
        <w:spacing w:after="0" w:line="160" w:lineRule="exact"/>
        <w:rPr>
          <w:rFonts w:ascii="Times New Roman" w:cs="Times New Roman" w:eastAsia="Times New Roman" w:hAnsi="Times New Roman"/>
          <w:sz w:val="16"/>
          <w:szCs w:val="16"/>
          <w:color w:val="auto"/>
        </w:rPr>
      </w:pPr>
    </w:p>
    <w:p>
      <w:pPr>
        <w:ind w:left="286" w:right="200" w:hanging="286"/>
        <w:spacing w:after="0" w:line="340" w:lineRule="auto"/>
        <w:tabs>
          <w:tab w:leader="none" w:pos="28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and delivered, including by facsimile transmission or by electronic transmission in Adobe portable document format (or a "PDF file"), in counterparts, each of which shall be deemed an original, and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1929130</wp:posOffset>
            </wp:positionV>
            <wp:extent cx="715073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as of the date first above written.</w:t>
      </w:r>
    </w:p>
    <w:p>
      <w:pPr>
        <w:spacing w:after="0" w:line="18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DAVID SOFFER</w:t>
      </w:r>
    </w:p>
    <w:p>
      <w:pPr>
        <w:spacing w:after="0" w:line="3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XBIOTECH INC.</w:t>
      </w:r>
    </w:p>
    <w:p>
      <w:pPr>
        <w:spacing w:after="0" w:line="37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By:__________________________</w:t>
      </w:r>
    </w:p>
    <w:p>
      <w:pPr>
        <w:spacing w:after="0" w:line="4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1617345</wp:posOffset>
            </wp:positionV>
            <wp:extent cx="715073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499"/>
          </w:cols>
          <w:pgMar w:left="960" w:top="520"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1" w:lineRule="exact"/>
        <w:rPr>
          <w:sz w:val="20"/>
          <w:szCs w:val="20"/>
          <w:color w:val="auto"/>
        </w:rPr>
      </w:pPr>
    </w:p>
    <w:p>
      <w:pPr>
        <w:ind w:left="500" w:hanging="285"/>
        <w:spacing w:after="0"/>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As used in this Exhibit:</w:t>
      </w:r>
    </w:p>
    <w:p>
      <w:pPr>
        <w:spacing w:after="0" w:line="189" w:lineRule="exact"/>
        <w:rPr>
          <w:rFonts w:ascii="Times New Roman" w:cs="Times New Roman" w:eastAsia="Times New Roman" w:hAnsi="Times New Roman"/>
          <w:sz w:val="16"/>
          <w:szCs w:val="16"/>
          <w:color w:val="auto"/>
        </w:rPr>
      </w:pPr>
    </w:p>
    <w:p>
      <w:pPr>
        <w:ind w:right="260" w:firstLine="647"/>
        <w:spacing w:after="0" w:line="340" w:lineRule="auto"/>
        <w:tabs>
          <w:tab w:leader="none" w:pos="956"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xml:space="preserve"> with respect to any request by the Board Director for indemnification or advancement of expenses hereunder shall mean a director of the Company who neither is nor was a party to the Proceeding (as defined below) in respect of which indemnification or advancement is being sought by the Board Director.</w:t>
      </w:r>
    </w:p>
    <w:p>
      <w:pPr>
        <w:spacing w:after="0" w:line="104" w:lineRule="exact"/>
        <w:rPr>
          <w:rFonts w:ascii="Times New Roman" w:cs="Times New Roman" w:eastAsia="Times New Roman" w:hAnsi="Times New Roman"/>
          <w:sz w:val="14"/>
          <w:szCs w:val="14"/>
          <w:color w:val="auto"/>
        </w:rPr>
      </w:pPr>
    </w:p>
    <w:p>
      <w:pPr>
        <w:ind w:right="200" w:firstLine="647"/>
        <w:spacing w:after="0" w:line="249" w:lineRule="auto"/>
        <w:tabs>
          <w:tab w:leader="none" w:pos="92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shall mean any expense, liability or loss, including, without limitation, damages, judgments, fines, penalties, settlements (if, and only if, such settlement is approved in advance by the Company, which approval shall not be unreasonably withheld) and costs, attorneys’ fees and disbursements and costs of attachment or similar bond, investigations, liabilities, losses, taxes, any expense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 under this Exhibit.</w:t>
      </w:r>
    </w:p>
    <w:p>
      <w:pPr>
        <w:spacing w:after="0" w:line="165" w:lineRule="exact"/>
        <w:rPr>
          <w:rFonts w:ascii="Times New Roman" w:cs="Times New Roman" w:eastAsia="Times New Roman" w:hAnsi="Times New Roman"/>
          <w:sz w:val="16"/>
          <w:szCs w:val="16"/>
          <w:color w:val="auto"/>
        </w:rPr>
      </w:pPr>
    </w:p>
    <w:p>
      <w:pPr>
        <w:ind w:right="20" w:firstLine="647"/>
        <w:spacing w:after="0" w:line="290" w:lineRule="auto"/>
        <w:tabs>
          <w:tab w:leader="none" w:pos="914"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Independent Legal Counsel”</w:t>
      </w:r>
      <w:r>
        <w:rPr>
          <w:rFonts w:ascii="Times New Roman" w:cs="Times New Roman" w:eastAsia="Times New Roman" w:hAnsi="Times New Roman"/>
          <w:sz w:val="14"/>
          <w:szCs w:val="14"/>
          <w:color w:val="auto"/>
        </w:rPr>
        <w:t xml:space="preserve"> shall mean any firm of attorneys that is reasonably selected by the Board, so long as such firm is not presently representing and has not in the preceding five (5) years represented the Company, the Company’s subsidiaries or affiliates, the Board Director, any entity controlled by the Board Director, or any party adverse to the Company in any matter material to any such party (other than with respect to matters concerning the Board Director under this Exhibit, or of other Board Directors under similar indemnification Exhibits). Notwithstanding the foregoing, the term “Independent Legal Counsel” shall not include any person who, under applicable standards of professional conduct then prevailing, would have a conflict of interest in representing either the Company or the Board Director in an action to determine the Board Director’s right to indemnification or advancement of expenses under this Exhibit, the Company’s Articles of Association (the “</w:t>
      </w:r>
      <w:r>
        <w:rPr>
          <w:rFonts w:ascii="Times New Roman" w:cs="Times New Roman" w:eastAsia="Times New Roman" w:hAnsi="Times New Roman"/>
          <w:sz w:val="14"/>
          <w:szCs w:val="14"/>
          <w:u w:val="single" w:color="auto"/>
          <w:color w:val="auto"/>
        </w:rPr>
        <w:t>Articles”</w:t>
      </w:r>
      <w:r>
        <w:rPr>
          <w:rFonts w:ascii="Times New Roman" w:cs="Times New Roman" w:eastAsia="Times New Roman" w:hAnsi="Times New Roman"/>
          <w:sz w:val="14"/>
          <w:szCs w:val="14"/>
          <w:color w:val="auto"/>
        </w:rPr>
        <w:t>), applicable law or otherwise.</w:t>
      </w:r>
    </w:p>
    <w:p>
      <w:pPr>
        <w:spacing w:after="0" w:line="139" w:lineRule="exact"/>
        <w:rPr>
          <w:rFonts w:ascii="Times New Roman" w:cs="Times New Roman" w:eastAsia="Times New Roman" w:hAnsi="Times New Roman"/>
          <w:sz w:val="14"/>
          <w:szCs w:val="14"/>
          <w:color w:val="auto"/>
        </w:rPr>
      </w:pPr>
    </w:p>
    <w:p>
      <w:pPr>
        <w:ind w:right="40" w:firstLine="647"/>
        <w:spacing w:after="0" w:line="246" w:lineRule="auto"/>
        <w:tabs>
          <w:tab w:leader="none" w:pos="92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shall mean any threatened, pending or completed action, suit, arbitration, alternate dispute resolution mechanism, investigation, inquiry, hearing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in which the Board Director was, is or will be involved as a party or otherwise, by reason of (i) the fact that the Board Director is or was a director (or a director appointee) of the Company, or is or was serving at the request of the Company as an agent of another enterprise, (ii) any actual or alleged act or omission or neglect or breach of duty, including, without limitation, any actual or alleged error or misstatement or misleading statement, which the Board Director commits or suffers while acting in any such capacity, or (iii) the Board Director attempting to establish or establishing a right to indemnification or advancement of expenses pursuant to this Exhibit, the Articles, applicable law or otherwise, in each case whether or not the Board Director is acting or serving in any such capacity at the time any liability or expense is incurred for which indemnification can be provided under this Exhibit.</w:t>
      </w:r>
    </w:p>
    <w:p>
      <w:pPr>
        <w:spacing w:after="0" w:line="169" w:lineRule="exact"/>
        <w:rPr>
          <w:rFonts w:ascii="Times New Roman" w:cs="Times New Roman" w:eastAsia="Times New Roman" w:hAnsi="Times New Roman"/>
          <w:sz w:val="16"/>
          <w:szCs w:val="16"/>
          <w:color w:val="auto"/>
        </w:rPr>
      </w:pPr>
    </w:p>
    <w:p>
      <w:pPr>
        <w:ind w:firstLine="647"/>
        <w:spacing w:after="0" w:line="247" w:lineRule="auto"/>
        <w:tabs>
          <w:tab w:leader="none" w:pos="914"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phrase “</w:t>
      </w:r>
      <w:r>
        <w:rPr>
          <w:rFonts w:ascii="Times New Roman" w:cs="Times New Roman" w:eastAsia="Times New Roman" w:hAnsi="Times New Roman"/>
          <w:sz w:val="16"/>
          <w:szCs w:val="16"/>
          <w:u w:val="single" w:color="auto"/>
          <w:color w:val="auto"/>
        </w:rPr>
        <w:t>serving at the request of the Company as an agent of another enterprise”</w:t>
      </w:r>
      <w:r>
        <w:rPr>
          <w:rFonts w:ascii="Times New Roman" w:cs="Times New Roman" w:eastAsia="Times New Roman" w:hAnsi="Times New Roman"/>
          <w:sz w:val="16"/>
          <w:szCs w:val="16"/>
          <w:color w:val="auto"/>
        </w:rPr>
        <w:t xml:space="preserve">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 or an executive officer of the Company which imposes duties on, or involves services by, such director or executive officer with respect to the Company or any of the Company’s subsidiaries, affiliates, employee benefit or welfare plans, such plan’s participants or beneficiaries or any other enterprise, foreign or domestic. In the event that the Board Director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Board Director is so acting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5073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86" w:name="page87"/>
    <w:bookmarkEnd w:id="86"/>
    <w:p>
      <w:pPr>
        <w:ind w:left="-367" w:right="300" w:firstLine="367"/>
        <w:spacing w:after="0" w:line="267" w:lineRule="auto"/>
        <w:tabs>
          <w:tab w:leader="none" w:pos="27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Subject to Section 6 below, the Company hereby agrees to hold harmless and indemnify the Board Director to the fullest extent permitted by law. In furtherance of the foregoing indemnification and without limiting the generality thereof:</w:t>
      </w:r>
    </w:p>
    <w:p>
      <w:pPr>
        <w:spacing w:after="0" w:line="150" w:lineRule="exact"/>
        <w:rPr>
          <w:rFonts w:ascii="Times New Roman" w:cs="Times New Roman" w:eastAsia="Times New Roman" w:hAnsi="Times New Roman"/>
          <w:sz w:val="16"/>
          <w:szCs w:val="16"/>
          <w:color w:val="auto"/>
        </w:rPr>
      </w:pPr>
    </w:p>
    <w:p>
      <w:pPr>
        <w:jc w:val="both"/>
        <w:ind w:left="-367" w:right="160" w:firstLine="647"/>
        <w:spacing w:after="0" w:line="255" w:lineRule="auto"/>
        <w:tabs>
          <w:tab w:leader="none" w:pos="55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The Company shall indemnify the Board Director if the Board Director is a party to or threatened to be made a party to or is otherwise involved in any Proceeding against all Expenses which are actually and reasonably incurred by the Board Director in connection with such a Proceeding, if the Board Director acted in good faith and in a manner the Board Director reasonably believed to be in, or not opposed to, the best interests of the Company.</w:t>
      </w:r>
    </w:p>
    <w:p>
      <w:pPr>
        <w:spacing w:after="0" w:line="160" w:lineRule="exact"/>
        <w:rPr>
          <w:rFonts w:ascii="Times New Roman" w:cs="Times New Roman" w:eastAsia="Times New Roman" w:hAnsi="Times New Roman"/>
          <w:sz w:val="16"/>
          <w:szCs w:val="16"/>
          <w:color w:val="auto"/>
        </w:rPr>
      </w:pPr>
    </w:p>
    <w:p>
      <w:pPr>
        <w:ind w:left="-367" w:right="300" w:firstLine="647"/>
        <w:spacing w:after="0" w:line="255" w:lineRule="auto"/>
        <w:tabs>
          <w:tab w:leader="none" w:pos="559"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for Expenses of Witness.</w:t>
      </w:r>
      <w:r>
        <w:rPr>
          <w:rFonts w:ascii="Times New Roman" w:cs="Times New Roman" w:eastAsia="Times New Roman" w:hAnsi="Times New Roman"/>
          <w:sz w:val="16"/>
          <w:szCs w:val="16"/>
          <w:color w:val="auto"/>
        </w:rPr>
        <w:t xml:space="preserve"> Notwithstanding any other provision of this Exhibit, to the extent that the Board Director has prepared to serve or has served as a witness or is made to respond to discovery requests in any Proceeding to which the Board Director is not a party, the Board Director shall be indemnified against all Expenses actually and reasonably incurred by the Board Director in connection therewith.</w:t>
      </w:r>
    </w:p>
    <w:p>
      <w:pPr>
        <w:spacing w:after="0" w:line="160" w:lineRule="exact"/>
        <w:rPr>
          <w:rFonts w:ascii="Times New Roman" w:cs="Times New Roman" w:eastAsia="Times New Roman" w:hAnsi="Times New Roman"/>
          <w:sz w:val="16"/>
          <w:szCs w:val="16"/>
          <w:color w:val="auto"/>
        </w:rPr>
      </w:pPr>
    </w:p>
    <w:p>
      <w:pPr>
        <w:jc w:val="both"/>
        <w:ind w:left="-367" w:right="400" w:firstLine="647"/>
        <w:spacing w:after="0" w:line="255" w:lineRule="auto"/>
        <w:tabs>
          <w:tab w:leader="none" w:pos="55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Partial Indemnification.</w:t>
      </w:r>
      <w:r>
        <w:rPr>
          <w:rFonts w:ascii="Times New Roman" w:cs="Times New Roman" w:eastAsia="Times New Roman" w:hAnsi="Times New Roman"/>
          <w:sz w:val="16"/>
          <w:szCs w:val="16"/>
          <w:color w:val="auto"/>
        </w:rPr>
        <w:t xml:space="preserve"> If Board Director is entitled under any provision of this Exhibit to indemnification by the Company for some or a portion of Expenses incurred in connection with any Proceedings, but not, however, for the total amount thereof, the Company shall nevertheless indemnify Board Director for the portion of such Expenses to which Board Director is entitled.</w:t>
      </w:r>
    </w:p>
    <w:p>
      <w:pPr>
        <w:spacing w:after="0" w:line="160" w:lineRule="exact"/>
        <w:rPr>
          <w:rFonts w:ascii="Times New Roman" w:cs="Times New Roman" w:eastAsia="Times New Roman" w:hAnsi="Times New Roman"/>
          <w:sz w:val="16"/>
          <w:szCs w:val="16"/>
          <w:color w:val="auto"/>
        </w:rPr>
      </w:pPr>
    </w:p>
    <w:p>
      <w:pPr>
        <w:ind w:left="-367" w:firstLine="367"/>
        <w:spacing w:after="0" w:line="247" w:lineRule="auto"/>
        <w:tabs>
          <w:tab w:leader="none" w:pos="27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the indemnification provided in Section 2 above is unavailable to Board Director for any reason (other than those set forth in Section 6 below) in connection with a Proceeding in which the Company is jointly liable with Board Director (or would be if joined in such Proceeding), the Company, in lieu of indemnifying Board Director thereunder, shall contribute to the amount of Expenses which are actually and reasonably incurred and paid or payable by the Board Director in such proportion as is deemed fair and reasonable by the person or persons presiding over the Proceeding in light of all of the circumstances of such Proceeding in order to reflect (i) the relative benefits received by the Company and the Board Director and/or (ii) the relative fault of the Company and such Board Director in connection with the transaction or events from which such Proceeding arose. The relative fault of the Company and the Board Director shall be determined by reference to, among other things, the parties’ relative intent, knowledge, access to information and opportunity to correct or prevent the circumstances resulting in such Expenses.</w:t>
      </w:r>
    </w:p>
    <w:p>
      <w:pPr>
        <w:spacing w:after="0" w:line="168" w:lineRule="exact"/>
        <w:rPr>
          <w:rFonts w:ascii="Times New Roman" w:cs="Times New Roman" w:eastAsia="Times New Roman" w:hAnsi="Times New Roman"/>
          <w:sz w:val="16"/>
          <w:szCs w:val="16"/>
          <w:color w:val="auto"/>
        </w:rPr>
      </w:pPr>
    </w:p>
    <w:p>
      <w:pPr>
        <w:ind w:left="-367" w:right="40" w:firstLine="367"/>
        <w:spacing w:after="0" w:line="249" w:lineRule="auto"/>
        <w:tabs>
          <w:tab w:leader="none" w:pos="27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Advancement of Expenses.</w:t>
      </w:r>
      <w:r>
        <w:rPr>
          <w:rFonts w:ascii="Times New Roman" w:cs="Times New Roman" w:eastAsia="Times New Roman" w:hAnsi="Times New Roman"/>
          <w:sz w:val="16"/>
          <w:szCs w:val="16"/>
          <w:color w:val="auto"/>
        </w:rPr>
        <w:t xml:space="preserve"> The Expenses incurred by the Board Director in any Proceeding shall be paid promptly by the Company in advance of the final disposition of the Proceeding at the written request of the Board Director to the fullest extent permitted by applicable law; provided, however, that the Board Director shall set forth in such request reasonable evidence that such Expenses have been incurred by the Board Director in connection with such Proceeding and hereby undertakes to repay any advances if it is ultimately determined as provided in subsection 5(b) of this Exhibit that the Board Director is not entitled to indemnification under this Exhibit, the Articles, applicable law or otherwise.</w:t>
      </w:r>
    </w:p>
    <w:p>
      <w:pPr>
        <w:spacing w:after="0" w:line="165" w:lineRule="exact"/>
        <w:rPr>
          <w:rFonts w:ascii="Times New Roman" w:cs="Times New Roman" w:eastAsia="Times New Roman" w:hAnsi="Times New Roman"/>
          <w:sz w:val="16"/>
          <w:szCs w:val="16"/>
          <w:color w:val="auto"/>
        </w:rPr>
      </w:pPr>
    </w:p>
    <w:p>
      <w:pPr>
        <w:ind w:left="273" w:hanging="273"/>
        <w:spacing w:after="0"/>
        <w:tabs>
          <w:tab w:leader="none" w:pos="27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Procedure; Determination of Right to Indemnification.</w:t>
      </w:r>
    </w:p>
    <w:p>
      <w:pPr>
        <w:spacing w:after="0" w:line="189" w:lineRule="exact"/>
        <w:rPr>
          <w:rFonts w:ascii="Times New Roman" w:cs="Times New Roman" w:eastAsia="Times New Roman" w:hAnsi="Times New Roman"/>
          <w:sz w:val="16"/>
          <w:szCs w:val="16"/>
          <w:color w:val="auto"/>
        </w:rPr>
      </w:pPr>
    </w:p>
    <w:p>
      <w:pPr>
        <w:ind w:left="-367" w:right="240" w:firstLine="647"/>
        <w:spacing w:after="0" w:line="293" w:lineRule="auto"/>
        <w:tabs>
          <w:tab w:leader="none" w:pos="55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the Board Director of notice of the commencement of any Proceeding, the Board Director shall, if a claim for indemnification in respect thereof is to be made against the Company under this Exhibit, notify the Company of the commencement thereof in a written request, including therein or therewith such documentation and information as is reasonably available to Board Director and is reasonably necessary to determine whether and to what extent Board Director is entitled to indemnification. The omission to so notify the Company will not relieve the Company from any liability which the Company may have to the Board Director under this Exhibit unless the Company shall have lost significant substantive or procedural rights with respect to the defense of any Proceeding as a result of such omission to so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290830</wp:posOffset>
            </wp:positionV>
            <wp:extent cx="715073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53"/>
          </w:cols>
          <w:pgMar w:left="687" w:top="520" w:right="359" w:bottom="1440" w:gutter="0" w:footer="0" w:header="0"/>
        </w:sectPr>
      </w:pPr>
    </w:p>
    <w:bookmarkStart w:id="87" w:name="page88"/>
    <w:bookmarkEnd w:id="87"/>
    <w:p>
      <w:pPr>
        <w:ind w:left="-647" w:right="20" w:firstLine="647"/>
        <w:spacing w:after="0" w:line="293" w:lineRule="auto"/>
        <w:tabs>
          <w:tab w:leader="none" w:pos="27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Director shall be conclusively presumed to be entitled to indemnification under this Exhibit unless a determination is made that the Board Director is not entitled to indemnification under this Exhibit, the Articles, applicable law or otherwise by (i) a majority vote of the Board of a quorum consisting of Disinterested Directors or (ii) if a quorum of the Board consisting of Disinterested Directors is not obtainable, by Independent Legal Counsel in a written opinion to the Board, a copy of which shall be delivered to the Board Director. The Board Director agrees that the delivery of such opinion to the Board Director does not constitute a waiver of any privilege or doctrine, including the attorney-client privilege and the work product doctrine, with respect to any other communication between the Independent Legal Counsel and its client or clients.</w:t>
      </w:r>
    </w:p>
    <w:p>
      <w:pPr>
        <w:spacing w:after="0" w:line="137" w:lineRule="exact"/>
        <w:rPr>
          <w:rFonts w:ascii="Times New Roman" w:cs="Times New Roman" w:eastAsia="Times New Roman" w:hAnsi="Times New Roman"/>
          <w:sz w:val="14"/>
          <w:szCs w:val="14"/>
          <w:color w:val="auto"/>
        </w:rPr>
      </w:pPr>
    </w:p>
    <w:p>
      <w:pPr>
        <w:ind w:left="-647" w:firstLine="647"/>
        <w:spacing w:after="0" w:line="245" w:lineRule="auto"/>
        <w:tabs>
          <w:tab w:leader="none" w:pos="27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a determination is made that the Board Director is not entitled to indemnification under this Exhibit or (ii) a claim for indemnification or advancement of Expenses under this Exhibit is not paid by the Company within thirty (30) days after receipt by the Company of written notice thereof, the Board Director is entitled to an adjudication in any court of competent jurisdiction. Such judicial proceeding shall be made de novo. The burden of proving that indemnification or advances are not appropriate shall be on the Company. Neither the failure of the directors of the Company or Independent Legal Counsel to have made a determination prior to the commencement of such action that indemnification or advancement of Expenses is proper in the circumstances because the Board Director has met the applicable standard of conduct, if any, nor an actual determination by the directors of the Company or Independent Legal Counsel that the Board Director has not met the applicable standard of conduct shall be a defense to an action by the Board Director or create a presumption for the purpose of such an action that the Board Director has not met the applicable standard of conduct. The termination of any Proceeding by judgment, order, settlement or conviction, or upon a plea of nolo contendere or its equivalent, shall not, of itself (i) create a presumption that the Board Director did not act in good faith and in a manner which he reasonably believed to be in the best interests of the Company and/or its shareholders, and, with respect to any criminal Proceeding, that the Board Director had reasonable cause to believe that his conduct was unlawful or (ii) otherwise adversely affect the rights of the Board Director to indemnification or advancement of Expenses under this Exhibit, except as may be provided herein.</w:t>
      </w:r>
    </w:p>
    <w:p>
      <w:pPr>
        <w:spacing w:after="0" w:line="174" w:lineRule="exact"/>
        <w:rPr>
          <w:rFonts w:ascii="Times New Roman" w:cs="Times New Roman" w:eastAsia="Times New Roman" w:hAnsi="Times New Roman"/>
          <w:sz w:val="16"/>
          <w:szCs w:val="16"/>
          <w:color w:val="auto"/>
        </w:rPr>
      </w:pPr>
    </w:p>
    <w:p>
      <w:pPr>
        <w:ind w:left="-647" w:right="200" w:firstLine="647"/>
        <w:spacing w:after="0" w:line="340" w:lineRule="auto"/>
        <w:tabs>
          <w:tab w:leader="none" w:pos="27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of competent jurisdiction shall determine that the Board Director is entitled to any indemnification or advancement of Expenses hereunder, the Company shall pay all Expenses actually and reasonably incurred by the Board Director in connection with such adjudication (including, but not limited to, any appellate proceedings).</w:t>
      </w:r>
    </w:p>
    <w:p>
      <w:pPr>
        <w:spacing w:after="0" w:line="104" w:lineRule="exact"/>
        <w:rPr>
          <w:rFonts w:ascii="Times New Roman" w:cs="Times New Roman" w:eastAsia="Times New Roman" w:hAnsi="Times New Roman"/>
          <w:sz w:val="14"/>
          <w:szCs w:val="14"/>
          <w:color w:val="auto"/>
        </w:rPr>
      </w:pPr>
    </w:p>
    <w:p>
      <w:pPr>
        <w:jc w:val="both"/>
        <w:ind w:left="-647" w:right="20" w:firstLine="647"/>
        <w:spacing w:after="0" w:line="251" w:lineRule="auto"/>
        <w:tabs>
          <w:tab w:leader="none" w:pos="26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Board Director. After notice from the Company to the Board Director of its election to assume the defense of a Proceeding, the Company will not be liable to the Board Director under this Exhibit for any Expenses subsequently incurred by the Board Director in connection with the defense thereof, other than as provided below.</w:t>
      </w:r>
    </w:p>
    <w:p>
      <w:pPr>
        <w:spacing w:after="0" w:line="163" w:lineRule="exact"/>
        <w:rPr>
          <w:rFonts w:ascii="Times New Roman" w:cs="Times New Roman" w:eastAsia="Times New Roman" w:hAnsi="Times New Roman"/>
          <w:sz w:val="16"/>
          <w:szCs w:val="16"/>
          <w:color w:val="auto"/>
        </w:rPr>
      </w:pPr>
    </w:p>
    <w:p>
      <w:pPr>
        <w:ind w:left="-647" w:right="20" w:firstLine="647"/>
        <w:spacing w:after="0" w:line="247" w:lineRule="auto"/>
        <w:tabs>
          <w:tab w:leader="none" w:pos="25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settle any Proceeding in any manner which would impose any penalty or limitation on the Board Director without the Board Director’s written consent. The Board Director shall have the right to employ his own counsel in any Proceeding, but the fees and expenses of such counsel incurred after notice from the Company of its assumption of the defense of the Proceeding shall be at the expense of the Board Director, unless (i) the employment of counsel by the Board Director has been authorized by the Company, (ii) the Board Director shall have reasonably concluded that there may be a conflict of interest between the Company and the Board Director in the conduct of the defense of a Proceeding, or (iii) the Company shall not in fact have employed counsel to assume the defense of a proceeding, in each of which cases the fees and expenses of the Board Director’s counsel shall be advanced by the Company. The Company shall not be entitled to assume the defense of any Proceeding brought by or on behalf of the Company or as to which the Board Director has reasonably concluded that there may be a conflict of interest between the Company and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309880</wp:posOffset>
            </wp:positionV>
            <wp:extent cx="715073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593"/>
          </w:cols>
          <w:pgMar w:left="967" w:top="520" w:right="339" w:bottom="1440" w:gutter="0" w:footer="0" w:header="0"/>
        </w:sectPr>
      </w:pPr>
    </w:p>
    <w:bookmarkStart w:id="88" w:name="page89"/>
    <w:bookmarkEnd w:id="88"/>
    <w:p>
      <w:pPr>
        <w:jc w:val="both"/>
        <w:ind w:left="-367" w:right="340" w:firstLine="647"/>
        <w:spacing w:after="0" w:line="255" w:lineRule="auto"/>
        <w:tabs>
          <w:tab w:leader="none" w:pos="559"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Director shall give the Company such information and cooperation as it may reasonably require and as shall be within Board Director’s power. Subject to Section 3, the Company shall not be liable to indemnify the Board Director under this Exhibit with regard to any judicial action if the Company was not given a reasonable and timely opportunity, at its expense, to participate in the defense, conduct and/or settlement of such action.</w:t>
      </w:r>
    </w:p>
    <w:p>
      <w:pPr>
        <w:spacing w:after="0" w:line="160" w:lineRule="exact"/>
        <w:rPr>
          <w:rFonts w:ascii="Times New Roman" w:cs="Times New Roman" w:eastAsia="Times New Roman" w:hAnsi="Times New Roman"/>
          <w:sz w:val="16"/>
          <w:szCs w:val="16"/>
          <w:color w:val="auto"/>
        </w:rPr>
      </w:pPr>
    </w:p>
    <w:p>
      <w:pPr>
        <w:ind w:left="-367" w:right="660" w:firstLine="367"/>
        <w:spacing w:after="0" w:line="267" w:lineRule="auto"/>
        <w:tabs>
          <w:tab w:leader="none" w:pos="27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Indemnification.</w:t>
      </w:r>
      <w:r>
        <w:rPr>
          <w:rFonts w:ascii="Times New Roman" w:cs="Times New Roman" w:eastAsia="Times New Roman" w:hAnsi="Times New Roman"/>
          <w:sz w:val="16"/>
          <w:szCs w:val="16"/>
          <w:color w:val="auto"/>
        </w:rPr>
        <w:t xml:space="preserve"> Notwithstanding any provision in this Exhibit, the Company shall not be obligated under this Exhibit to make any indemnity in connection with any claim made against the Board Director:</w:t>
      </w:r>
    </w:p>
    <w:p>
      <w:pPr>
        <w:spacing w:after="0" w:line="150" w:lineRule="exact"/>
        <w:rPr>
          <w:rFonts w:ascii="Times New Roman" w:cs="Times New Roman" w:eastAsia="Times New Roman" w:hAnsi="Times New Roman"/>
          <w:sz w:val="16"/>
          <w:szCs w:val="16"/>
          <w:color w:val="auto"/>
        </w:rPr>
      </w:pPr>
    </w:p>
    <w:p>
      <w:pPr>
        <w:ind w:left="-367" w:right="100" w:firstLine="647"/>
        <w:spacing w:after="0" w:line="248" w:lineRule="auto"/>
        <w:tabs>
          <w:tab w:leader="none" w:pos="55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Proceeding initiated or brought voluntarily by the Board Director and not by way of defense, unless (i) the Board authorized the Proceeding prior to its initiation or (ii) the Proceeding is to enforce indemnification rights under this Exhibit, the Articles, applicable law or otherwise and either (A) Board Director is successful in such Proceeding in establishing Board Director’s right, in whole or in part, to indemnification or advancement of Expenses hereunder (in which case such indemnification or advancement shall be to the fullest extent permitted by this Exhibit) or (B) the court in such Proceeding shall determine that, despite Board Director’s failure to establish his right to indemnification, Board Director is entitled to indemnity for such expenses (in which case such indemnification or advancement shall be to the extent provided by such court);</w:t>
      </w:r>
    </w:p>
    <w:p>
      <w:pPr>
        <w:spacing w:after="0" w:line="166" w:lineRule="exact"/>
        <w:rPr>
          <w:rFonts w:ascii="Times New Roman" w:cs="Times New Roman" w:eastAsia="Times New Roman" w:hAnsi="Times New Roman"/>
          <w:sz w:val="16"/>
          <w:szCs w:val="16"/>
          <w:color w:val="auto"/>
        </w:rPr>
      </w:pPr>
    </w:p>
    <w:p>
      <w:pPr>
        <w:ind w:left="-367" w:firstLine="647"/>
        <w:spacing w:after="0" w:line="255" w:lineRule="auto"/>
        <w:tabs>
          <w:tab w:leader="none" w:pos="55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Board Director preparing to serve or serving as a witness in voluntary cooperation with any non-governmental or non-regulatory party or entity who or which has threatened or commenced any action or proceeding against the Company, or any director, officer, employee, trustee, agent, representative, subsidiary, parent corporation or affiliate of the Company, but such indemnification may be provided by the Company if the Board finds it to be appropriate;</w:t>
      </w:r>
    </w:p>
    <w:p>
      <w:pPr>
        <w:spacing w:after="0" w:line="160" w:lineRule="exact"/>
        <w:rPr>
          <w:rFonts w:ascii="Times New Roman" w:cs="Times New Roman" w:eastAsia="Times New Roman" w:hAnsi="Times New Roman"/>
          <w:sz w:val="16"/>
          <w:szCs w:val="16"/>
          <w:color w:val="auto"/>
        </w:rPr>
      </w:pPr>
    </w:p>
    <w:p>
      <w:pPr>
        <w:ind w:left="-367" w:right="60" w:firstLine="647"/>
        <w:spacing w:after="0" w:line="267" w:lineRule="auto"/>
        <w:tabs>
          <w:tab w:leader="none" w:pos="55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which payment has actually been made to the Board Director under a valid and collectible insurance policy, except in respect of any excess beyond the amount of payment under such insurance policy;</w:t>
      </w:r>
    </w:p>
    <w:p>
      <w:pPr>
        <w:spacing w:after="0" w:line="150" w:lineRule="exact"/>
        <w:rPr>
          <w:rFonts w:ascii="Times New Roman" w:cs="Times New Roman" w:eastAsia="Times New Roman" w:hAnsi="Times New Roman"/>
          <w:sz w:val="16"/>
          <w:szCs w:val="16"/>
          <w:color w:val="auto"/>
        </w:rPr>
      </w:pPr>
    </w:p>
    <w:p>
      <w:pPr>
        <w:ind w:left="-367" w:right="40" w:firstLine="647"/>
        <w:spacing w:after="0" w:line="267" w:lineRule="auto"/>
        <w:tabs>
          <w:tab w:leader="none" w:pos="55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 accounting of profits made from the purchase or sale by the Board Director of securities of the Company pursuant to the provisions of Section 16(b) of the Act or similar provisions of any federal, state or local statute or regulation;</w:t>
      </w:r>
    </w:p>
    <w:p>
      <w:pPr>
        <w:spacing w:after="0" w:line="150" w:lineRule="exact"/>
        <w:rPr>
          <w:rFonts w:ascii="Times New Roman" w:cs="Times New Roman" w:eastAsia="Times New Roman" w:hAnsi="Times New Roman"/>
          <w:sz w:val="16"/>
          <w:szCs w:val="16"/>
          <w:color w:val="auto"/>
        </w:rPr>
      </w:pPr>
    </w:p>
    <w:p>
      <w:pPr>
        <w:ind w:left="553" w:hanging="273"/>
        <w:spacing w:after="0"/>
        <w:tabs>
          <w:tab w:leader="none" w:pos="553"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court of competent jurisdiction finally determines that such indemnification is unlawful;</w:t>
      </w:r>
    </w:p>
    <w:p>
      <w:pPr>
        <w:spacing w:after="0" w:line="189" w:lineRule="exact"/>
        <w:rPr>
          <w:rFonts w:ascii="Times New Roman" w:cs="Times New Roman" w:eastAsia="Times New Roman" w:hAnsi="Times New Roman"/>
          <w:sz w:val="16"/>
          <w:szCs w:val="16"/>
          <w:color w:val="auto"/>
        </w:rPr>
      </w:pPr>
    </w:p>
    <w:p>
      <w:pPr>
        <w:ind w:left="-367" w:right="20" w:firstLine="647"/>
        <w:spacing w:after="0" w:line="267" w:lineRule="auto"/>
        <w:tabs>
          <w:tab w:leader="none" w:pos="533"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proviso in Section 6(a) hereof, in connection with any dispute or breach arising under any contract or similar obligation between the Company or any of its subsidiaries or affiliates and such Board Director.</w:t>
      </w:r>
    </w:p>
    <w:p>
      <w:pPr>
        <w:spacing w:after="0" w:line="150" w:lineRule="exact"/>
        <w:rPr>
          <w:rFonts w:ascii="Times New Roman" w:cs="Times New Roman" w:eastAsia="Times New Roman" w:hAnsi="Times New Roman"/>
          <w:sz w:val="16"/>
          <w:szCs w:val="16"/>
          <w:color w:val="auto"/>
        </w:rPr>
      </w:pPr>
    </w:p>
    <w:p>
      <w:pPr>
        <w:ind w:left="-367" w:right="160" w:firstLine="367"/>
        <w:spacing w:after="0" w:line="309" w:lineRule="auto"/>
        <w:tabs>
          <w:tab w:leader="none" w:pos="27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To the extent the Company maintains a Directors &amp; Officers liability insurance policy, the Board Director shall be covered to the fullest extent available for acts performed in the capacity of a director or while serving at the Company’s request for another enterprise. Such insurance shall provide for the advancement of defense costs in accordance with the indemnification provisions herein and shall be complementary to, and shall not limit, the Board Director’s rights to indemnification under this Agreement.</w:t>
      </w:r>
    </w:p>
    <w:p>
      <w:pPr>
        <w:spacing w:after="0" w:line="125" w:lineRule="exact"/>
        <w:rPr>
          <w:rFonts w:ascii="Times New Roman" w:cs="Times New Roman" w:eastAsia="Times New Roman" w:hAnsi="Times New Roman"/>
          <w:sz w:val="14"/>
          <w:szCs w:val="14"/>
          <w:color w:val="auto"/>
        </w:rPr>
      </w:pPr>
    </w:p>
    <w:p>
      <w:pPr>
        <w:ind w:left="-367" w:right="120" w:firstLine="367"/>
        <w:spacing w:after="0" w:line="249" w:lineRule="auto"/>
        <w:tabs>
          <w:tab w:leader="none" w:pos="27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Continuation of Indemnification.</w:t>
      </w:r>
      <w:r>
        <w:rPr>
          <w:rFonts w:ascii="Times New Roman" w:cs="Times New Roman" w:eastAsia="Times New Roman" w:hAnsi="Times New Roman"/>
          <w:sz w:val="16"/>
          <w:szCs w:val="16"/>
          <w:color w:val="auto"/>
        </w:rPr>
        <w:t xml:space="preserve"> All Exhibits and obligations of the Company contained herein shall continue during the period that the Board Director is a director of the Company (or is or was serving at the request of the Company as an agent of another enterprise, foreign or domestic) and shall continue thereafter so long as the Board Director shall be subject to any Proceeding by reason of the fact that the Board Director is or was a director of the Company or is or was serving in any other capacity referred to in this Section 8. This Exhibit shall continue in effect regardless of whether the Board Director continues to serve as a director of the Company or as an agent of another enterprise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308610</wp:posOffset>
            </wp:positionV>
            <wp:extent cx="715073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73"/>
          </w:cols>
          <w:pgMar w:left="687" w:top="520" w:right="339" w:bottom="1440" w:gutter="0" w:footer="0" w:header="0"/>
        </w:sectPr>
      </w:pPr>
    </w:p>
    <w:bookmarkStart w:id="89" w:name="page90"/>
    <w:bookmarkEnd w:id="89"/>
    <w:p>
      <w:pPr>
        <w:jc w:val="both"/>
        <w:ind w:left="-367" w:right="360" w:firstLine="367"/>
        <w:spacing w:after="0" w:line="251" w:lineRule="auto"/>
        <w:tabs>
          <w:tab w:leader="none" w:pos="27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Hereunder Not Exclusive.</w:t>
      </w:r>
      <w:r>
        <w:rPr>
          <w:rFonts w:ascii="Times New Roman" w:cs="Times New Roman" w:eastAsia="Times New Roman" w:hAnsi="Times New Roman"/>
          <w:sz w:val="16"/>
          <w:szCs w:val="16"/>
          <w:color w:val="auto"/>
        </w:rPr>
        <w:t xml:space="preserve"> The indemnification provided by this Exhibit shall not be deemed to be exclusive of any other rights to which the Board Director may be entitled under the Articles, Director Appointment Letter, any Exhibit, vote of shareholders or vote of Disinterested Directors, provisions of applicable law, or otherwise, both as to action or omission in the Board Director’s official capacity and as to action or omission in another capacity on behalf of the Company while holding such office.</w:t>
      </w:r>
    </w:p>
    <w:p>
      <w:pPr>
        <w:spacing w:after="0" w:line="163" w:lineRule="exact"/>
        <w:rPr>
          <w:rFonts w:ascii="Times New Roman" w:cs="Times New Roman" w:eastAsia="Times New Roman" w:hAnsi="Times New Roman"/>
          <w:sz w:val="16"/>
          <w:szCs w:val="16"/>
          <w:color w:val="auto"/>
        </w:rPr>
      </w:pPr>
    </w:p>
    <w:p>
      <w:pPr>
        <w:ind w:left="-367" w:firstLine="367"/>
        <w:spacing w:after="0" w:line="255" w:lineRule="auto"/>
        <w:tabs>
          <w:tab w:leader="none" w:pos="27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 To Serve.</w:t>
      </w:r>
      <w:r>
        <w:rPr>
          <w:rFonts w:ascii="Times New Roman" w:cs="Times New Roman" w:eastAsia="Times New Roman" w:hAnsi="Times New Roman"/>
          <w:sz w:val="16"/>
          <w:szCs w:val="16"/>
          <w:color w:val="auto"/>
        </w:rPr>
        <w:t xml:space="preserve"> The Company acknowledges that it has entered into this Exhibit and assumes the obligations imposed on it hereby, in addition to and separate from its obligations to Board Director under the Articles, Director Appointment Letter or otherwise to induce Board Director to serve, or continue to serve, as a director of the Company, and the Company acknowledges that Board Director is relying upon this Exhibit in serving as a director of the Company.</w:t>
      </w:r>
    </w:p>
    <w:p>
      <w:pPr>
        <w:spacing w:after="0" w:line="160" w:lineRule="exact"/>
        <w:rPr>
          <w:rFonts w:ascii="Times New Roman" w:cs="Times New Roman" w:eastAsia="Times New Roman" w:hAnsi="Times New Roman"/>
          <w:sz w:val="16"/>
          <w:szCs w:val="16"/>
          <w:color w:val="auto"/>
        </w:rPr>
      </w:pPr>
    </w:p>
    <w:p>
      <w:pPr>
        <w:ind w:left="-367" w:right="160" w:firstLine="367"/>
        <w:spacing w:after="0" w:line="267" w:lineRule="auto"/>
        <w:tabs>
          <w:tab w:leader="none" w:pos="35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of Exhibit.</w:t>
      </w:r>
      <w:r>
        <w:rPr>
          <w:rFonts w:ascii="Times New Roman" w:cs="Times New Roman" w:eastAsia="Times New Roman" w:hAnsi="Times New Roman"/>
          <w:sz w:val="16"/>
          <w:szCs w:val="16"/>
          <w:color w:val="auto"/>
        </w:rPr>
        <w:t xml:space="preserve"> It is understood that the parties hereto intend this Exhibit to be interpreted and enforced so as to provide indemnification to Board Director to the fullest extent now or hereafter permitted by law.</w:t>
      </w:r>
    </w:p>
    <w:p>
      <w:pPr>
        <w:spacing w:after="0" w:line="150" w:lineRule="exact"/>
        <w:rPr>
          <w:rFonts w:ascii="Times New Roman" w:cs="Times New Roman" w:eastAsia="Times New Roman" w:hAnsi="Times New Roman"/>
          <w:sz w:val="16"/>
          <w:szCs w:val="16"/>
          <w:color w:val="auto"/>
        </w:rPr>
      </w:pPr>
    </w:p>
    <w:p>
      <w:pPr>
        <w:ind w:left="-367" w:right="200" w:firstLine="367"/>
        <w:spacing w:after="0" w:line="251" w:lineRule="auto"/>
        <w:tabs>
          <w:tab w:leader="none" w:pos="35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Subrogation.</w:t>
      </w:r>
      <w:r>
        <w:rPr>
          <w:rFonts w:ascii="Times New Roman" w:cs="Times New Roman" w:eastAsia="Times New Roman" w:hAnsi="Times New Roman"/>
          <w:sz w:val="16"/>
          <w:szCs w:val="16"/>
          <w:color w:val="auto"/>
        </w:rPr>
        <w:t xml:space="preserve"> In the event of payment under this Exhibit, the Company shall be subrogated to the extent of such payment to all of the rights of recovery of the Board Director, who shall execute all documents required and shall do all acts that may be necessary to secure such rights and to enable the Company effectively to bring suit to enforce such rights separate and distinct so that if any section, sentence, term or provision thereof shall be held to be invalid, unlawful or unenforceable for any reason, such invalidity, unlawfulness or unenforceability shall not affect the validity, lawfulness or enforceability of any other section, sentence, term or provision hereof.</w:t>
      </w:r>
    </w:p>
    <w:p>
      <w:pPr>
        <w:spacing w:after="0" w:line="163" w:lineRule="exact"/>
        <w:rPr>
          <w:rFonts w:ascii="Times New Roman" w:cs="Times New Roman" w:eastAsia="Times New Roman" w:hAnsi="Times New Roman"/>
          <w:sz w:val="16"/>
          <w:szCs w:val="16"/>
          <w:color w:val="auto"/>
        </w:rPr>
      </w:pPr>
    </w:p>
    <w:p>
      <w:pPr>
        <w:ind w:left="-367" w:right="40" w:firstLine="367"/>
        <w:spacing w:after="0" w:line="299" w:lineRule="auto"/>
        <w:tabs>
          <w:tab w:leader="none" w:pos="35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Savings Clause.</w:t>
      </w:r>
      <w:r>
        <w:rPr>
          <w:rFonts w:ascii="Times New Roman" w:cs="Times New Roman" w:eastAsia="Times New Roman" w:hAnsi="Times New Roman"/>
          <w:sz w:val="14"/>
          <w:szCs w:val="14"/>
          <w:color w:val="auto"/>
        </w:rPr>
        <w:t xml:space="preserve"> If this Exhibit or any section, sentence, term or provision hereof is invalidated on any ground by any court of competent jurisdiction, the Company shall nevertheless indemnify the Board Director as to any Expenses which are incurred with respect to any Proceeding to the fullest extent permitted by any (a) applicable section, sentence, term or provision of this Exhibit that has not been invalidated or (b) applicable law. To the extent required, any section, sentence, term or provision of this Exhibit may be modified by a court of competent jurisdiction to preserve its validity and to provide the Board Director with the broadest possible indemnification permitted under applicable law.</w:t>
      </w:r>
    </w:p>
    <w:p>
      <w:pPr>
        <w:sectPr>
          <w:pgSz w:w="11900" w:h="16838" w:orient="portrait"/>
          <w:cols w:equalWidth="0" w:num="1">
            <w:col w:w="10873"/>
          </w:cols>
          <w:pgMar w:left="687" w:top="52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b w:val="1"/>
          <w:bCs w:val="1"/>
          <w:color w:val="auto"/>
        </w:rPr>
        <w:t>Exhibit 10.16</w:t>
      </w:r>
    </w:p>
    <w:p>
      <w:pPr>
        <w:spacing w:after="0" w:line="1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Board Member Agreement</w:t>
      </w:r>
    </w:p>
    <w:p>
      <w:pPr>
        <w:spacing w:after="0" w:line="189"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This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dated as of the </w:t>
      </w:r>
      <w:r>
        <w:rPr>
          <w:rFonts w:ascii="Times New Roman" w:cs="Times New Roman" w:eastAsia="Times New Roman" w:hAnsi="Times New Roman"/>
          <w:sz w:val="16"/>
          <w:szCs w:val="16"/>
          <w:u w:val="single" w:color="auto"/>
          <w:color w:val="auto"/>
        </w:rPr>
        <w:t>29th</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_August_</w:t>
      </w:r>
      <w:r>
        <w:rPr>
          <w:rFonts w:ascii="Times New Roman" w:cs="Times New Roman" w:eastAsia="Times New Roman" w:hAnsi="Times New Roman"/>
          <w:sz w:val="16"/>
          <w:szCs w:val="16"/>
          <w:color w:val="auto"/>
        </w:rPr>
        <w:t xml:space="preserve"> 2025, is between, </w:t>
      </w:r>
      <w:r>
        <w:rPr>
          <w:rFonts w:ascii="Times New Roman" w:cs="Times New Roman" w:eastAsia="Times New Roman" w:hAnsi="Times New Roman"/>
          <w:sz w:val="16"/>
          <w:szCs w:val="16"/>
          <w:u w:val="single" w:color="auto"/>
          <w:color w:val="auto"/>
        </w:rPr>
        <w:t>Tevi Troy</w:t>
      </w:r>
      <w:r>
        <w:rPr>
          <w:rFonts w:ascii="Times New Roman" w:cs="Times New Roman" w:eastAsia="Times New Roman" w:hAnsi="Times New Roman"/>
          <w:sz w:val="16"/>
          <w:szCs w:val="16"/>
          <w:color w:val="auto"/>
        </w:rPr>
        <w:t>, an individual having a residence at 11816 Kemp Mill Road, Silver Spring, Maryland, US, (the “</w:t>
      </w:r>
      <w:r>
        <w:rPr>
          <w:rFonts w:ascii="Times New Roman" w:cs="Times New Roman" w:eastAsia="Times New Roman" w:hAnsi="Times New Roman"/>
          <w:sz w:val="16"/>
          <w:szCs w:val="16"/>
          <w:u w:val="single" w:color="auto"/>
          <w:color w:val="auto"/>
        </w:rPr>
        <w:t>Board Director</w:t>
      </w:r>
      <w:r>
        <w:rPr>
          <w:rFonts w:ascii="Times New Roman" w:cs="Times New Roman" w:eastAsia="Times New Roman" w:hAnsi="Times New Roman"/>
          <w:sz w:val="16"/>
          <w:szCs w:val="16"/>
          <w:color w:val="auto"/>
        </w:rPr>
        <w:t>”), and XBiotech Inc., a Canadian corporation with a place of business at 300-1055 West Hastings Street, Vancouver BC V6E 2E9 Canada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enter into this Agreement setting forth the terms and conditions of the Board Director with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89" w:lineRule="exact"/>
        <w:rPr>
          <w:sz w:val="20"/>
          <w:szCs w:val="20"/>
          <w:color w:val="auto"/>
        </w:rPr>
      </w:pPr>
    </w:p>
    <w:p>
      <w:pPr>
        <w:ind w:left="840" w:right="80" w:hanging="286"/>
        <w:spacing w:after="0" w:line="267" w:lineRule="auto"/>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 effective as of the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upon which the Board Director becomes a duly elected or appointed member of the Board of Directors of the Company (the “Board”).</w:t>
      </w:r>
    </w:p>
    <w:p>
      <w:pPr>
        <w:spacing w:after="0" w:line="150" w:lineRule="exact"/>
        <w:rPr>
          <w:rFonts w:ascii="Times New Roman" w:cs="Times New Roman" w:eastAsia="Times New Roman" w:hAnsi="Times New Roman"/>
          <w:sz w:val="16"/>
          <w:szCs w:val="16"/>
          <w:color w:val="auto"/>
        </w:rPr>
      </w:pPr>
    </w:p>
    <w:p>
      <w:pPr>
        <w:ind w:left="840" w:right="280" w:hanging="286"/>
        <w:spacing w:after="0" w:line="267" w:lineRule="auto"/>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commence on the Effective Date and shall remain in effect until such time as the Board Director resigns, is removed, dies or otherwise ceases to be a member of the Board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w:t>
      </w:r>
    </w:p>
    <w:p>
      <w:pPr>
        <w:spacing w:after="0" w:line="150" w:lineRule="exact"/>
        <w:rPr>
          <w:rFonts w:ascii="Times New Roman" w:cs="Times New Roman" w:eastAsia="Times New Roman" w:hAnsi="Times New Roman"/>
          <w:sz w:val="16"/>
          <w:szCs w:val="16"/>
          <w:color w:val="auto"/>
        </w:rPr>
      </w:pPr>
    </w:p>
    <w:p>
      <w:pPr>
        <w:ind w:left="840" w:hanging="286"/>
        <w:spacing w:after="0"/>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During the Term, the Board Director shall act as a member of the Board (a “Board Member”) to the Company.</w:t>
      </w:r>
    </w:p>
    <w:p>
      <w:pPr>
        <w:spacing w:after="0" w:line="189" w:lineRule="exact"/>
        <w:rPr>
          <w:rFonts w:ascii="Times New Roman" w:cs="Times New Roman" w:eastAsia="Times New Roman" w:hAnsi="Times New Roman"/>
          <w:sz w:val="16"/>
          <w:szCs w:val="16"/>
          <w:color w:val="auto"/>
        </w:rPr>
      </w:pPr>
    </w:p>
    <w:p>
      <w:pPr>
        <w:ind w:left="840" w:right="100" w:hanging="286"/>
        <w:spacing w:after="0" w:line="249" w:lineRule="auto"/>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 and Reporting Relationship</w:t>
      </w:r>
      <w:r>
        <w:rPr>
          <w:rFonts w:ascii="Times New Roman" w:cs="Times New Roman" w:eastAsia="Times New Roman" w:hAnsi="Times New Roman"/>
          <w:sz w:val="16"/>
          <w:szCs w:val="16"/>
          <w:color w:val="auto"/>
        </w:rPr>
        <w:t>. During the Term, the Board Director shall be generally available for mutually agreed times during business hours. The Board Director agrees that he shall represent the Company as a Board Member. Such representations may be made by the Company in SEC filings, during Presentations, Business Plans, on the Company Website, or any other place deemed fit by the Company. The Company may request that you participate in discussions, as suitable to your schedule and availability, with third parties from time to time. The Board Director may be asked to serve as a member and/or as chair of one or more committees of the Board.</w:t>
      </w:r>
    </w:p>
    <w:p>
      <w:pPr>
        <w:spacing w:after="0" w:line="165" w:lineRule="exact"/>
        <w:rPr>
          <w:rFonts w:ascii="Times New Roman" w:cs="Times New Roman" w:eastAsia="Times New Roman" w:hAnsi="Times New Roman"/>
          <w:sz w:val="16"/>
          <w:szCs w:val="16"/>
          <w:color w:val="auto"/>
        </w:rPr>
      </w:pPr>
    </w:p>
    <w:p>
      <w:pPr>
        <w:ind w:left="840" w:right="20" w:hanging="286"/>
        <w:spacing w:after="0" w:line="245" w:lineRule="auto"/>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Subject to Board of Directors or Compensation Committee approval during each year of service, Board Director shall receive an annual cash retainer of $70,000, with additional annual retainers of $30,000 for service as a Committee Chair and $20,000 for service as a Committee Member. The Board Director shall serve as Chair of Audit Committee and shall receive a total annual retainer of $100,000, prorated based on the Board Director’s period of service during the fiscal year and subject to adjustment from time to time by the Compensation Committee. In addition, Board Director will be granted non-qualified stock options under the Company’s 2025 Equity Incentive Plan (the “Plan”) to purchase 56,000 shares of the Company’s common stock, representing a prorated portion of the annual grant for the year 2025. During Board Director’s service as a Board Member in years following 2025, subject to Board of Directors or Compensation Committee approval during each year of service, the Board Director will be granted 40,000 options annually, with additional 16,000 for service as a Committee Chair and 11,000 for service as a Committee Member on or about the date of the Company’s annual stockholders meeting. All granted options will be exercisable at a price equal to the closing price of the Company’s common stock, as reported by NASDAQ, on the date of grant, and vest in 12 months following the date of grant, subject to continued service as a Board Member (the “Options”). The Options shall expire ten years from the date of grant, unless terminated earlier in accordance with the Plan or the Board Director’s stock option agreement. In accordance with the Plan, the Options will remain exercisable for 90 days after the date of the Board Director’s termination without cause or resignation. The Board Director’s compensation for service as a Committee Chair, Committee Member, or Board Director (collectively, “Board Service”), including but not limited to time spent preparing for or attending Board or Committee meetings, shall be limited to the annual retainer payments and equity grants set forth in the prior sentences of Paragraph 5. Notwithstanding the foregoing, nothing herein shall limit the Board of Directors or Compensation Committee from approving additional compensation for Board Director if the Board of Directors or Compensation Committee determines that such additional compensation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310515</wp:posOffset>
            </wp:positionV>
            <wp:extent cx="715073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ind w:left="286" w:right="100" w:hanging="286"/>
        <w:spacing w:after="0" w:line="251"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Expense</w:t>
      </w:r>
      <w:r>
        <w:rPr>
          <w:rFonts w:ascii="Times New Roman" w:cs="Times New Roman" w:eastAsia="Times New Roman" w:hAnsi="Times New Roman"/>
          <w:sz w:val="16"/>
          <w:szCs w:val="16"/>
          <w:color w:val="auto"/>
        </w:rPr>
        <w:t>. The Board Director shall be reimbursed for all ordinary and necessary business expenses incurred by the Board Director in connection with his agreement upon timely submission to the Company of receipts and other documentation as required by the Internal Revenue Code of 1986, as amended, and in conformance with the Company’s normal expense reimbursement policies and procedures. Board Director shall be entitled to reimbursement at first class commercial airline rate for transcontinental travel.</w:t>
      </w:r>
    </w:p>
    <w:p>
      <w:pPr>
        <w:spacing w:after="0" w:line="163" w:lineRule="exact"/>
        <w:rPr>
          <w:rFonts w:ascii="Times New Roman" w:cs="Times New Roman" w:eastAsia="Times New Roman" w:hAnsi="Times New Roman"/>
          <w:sz w:val="16"/>
          <w:szCs w:val="16"/>
          <w:color w:val="auto"/>
        </w:rPr>
      </w:pPr>
    </w:p>
    <w:p>
      <w:pPr>
        <w:ind w:left="286" w:right="40" w:hanging="286"/>
        <w:spacing w:after="0" w:line="267"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and Insurance</w:t>
      </w:r>
      <w:r>
        <w:rPr>
          <w:rFonts w:ascii="Times New Roman" w:cs="Times New Roman" w:eastAsia="Times New Roman" w:hAnsi="Times New Roman"/>
          <w:sz w:val="16"/>
          <w:szCs w:val="16"/>
          <w:color w:val="auto"/>
        </w:rPr>
        <w:t>. Exhibit A hereto, which is hereby incorporated herein as if set forth herein, sets forth certain agreements of the parties hereto in respect of indemnification and insurance.</w:t>
      </w:r>
    </w:p>
    <w:p>
      <w:pPr>
        <w:spacing w:after="0" w:line="150" w:lineRule="exact"/>
        <w:rPr>
          <w:rFonts w:ascii="Times New Roman" w:cs="Times New Roman" w:eastAsia="Times New Roman" w:hAnsi="Times New Roman"/>
          <w:sz w:val="16"/>
          <w:szCs w:val="16"/>
          <w:color w:val="auto"/>
        </w:rPr>
      </w:pPr>
    </w:p>
    <w:p>
      <w:pPr>
        <w:ind w:left="286" w:right="80" w:hanging="286"/>
        <w:spacing w:after="0" w:line="255"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the Agreement</w:t>
      </w:r>
      <w:r>
        <w:rPr>
          <w:rFonts w:ascii="Times New Roman" w:cs="Times New Roman" w:eastAsia="Times New Roman" w:hAnsi="Times New Roman"/>
          <w:sz w:val="16"/>
          <w:szCs w:val="16"/>
          <w:color w:val="auto"/>
        </w:rPr>
        <w:t>. The Board Director or the Company may terminate this agreement at any time for any reason. The Agreement hereunder shall automatically terminate upon the death of the Board Director. Any purported termination of the Board Director’s agreement by the Company or by the Board Director shall be communicated by written notice of termination to the other party hereto.</w:t>
      </w:r>
    </w:p>
    <w:p>
      <w:pPr>
        <w:spacing w:after="0" w:line="160" w:lineRule="exact"/>
        <w:rPr>
          <w:rFonts w:ascii="Times New Roman" w:cs="Times New Roman" w:eastAsia="Times New Roman" w:hAnsi="Times New Roman"/>
          <w:sz w:val="16"/>
          <w:szCs w:val="16"/>
          <w:color w:val="auto"/>
        </w:rPr>
      </w:pPr>
    </w:p>
    <w:p>
      <w:pPr>
        <w:ind w:left="286" w:right="200" w:hanging="286"/>
        <w:spacing w:after="0" w:line="248"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Compliance</w:t>
      </w:r>
      <w:r>
        <w:rPr>
          <w:rFonts w:ascii="Times New Roman" w:cs="Times New Roman" w:eastAsia="Times New Roman" w:hAnsi="Times New Roman"/>
          <w:sz w:val="16"/>
          <w:szCs w:val="16"/>
          <w:color w:val="auto"/>
        </w:rPr>
        <w:t>. The Board Director acknowledges receipt of, and has reviewed, the Company’s Insider Trading Policy, and covenants to comply fully with the terms thereof. The Board Director shall not, directly or indirectly, purchase, sell, or otherwise trade in any securities of the Company while in possession of material nonpublic information, during any trading blackout period, or in contravention of any pre-clearance or other procedures established under such Policy. Any trades executed pursuant to a Rule 10b5-1 trading plan shall be in strict accordance with the requirements of the Policy. The Board Director shall consult with the Company’s Compliance Officer with respect to any questions concerning material nonpublic information, pre-clearance, or the permissibility of any proposed transaction, and shall promptly report any known or suspected violations of the Policy or applicable securities laws.</w:t>
      </w:r>
    </w:p>
    <w:p>
      <w:pPr>
        <w:spacing w:after="0" w:line="166"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 and Warranties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ind w:left="566" w:right="20" w:hanging="286"/>
        <w:spacing w:after="0" w:line="267" w:lineRule="auto"/>
        <w:tabs>
          <w:tab w:leader="none" w:pos="56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this Agreement has been authorized by the Company and is a valid and binding agreement of the Company enforceable against it in accordance with its terms.</w:t>
      </w:r>
    </w:p>
    <w:p>
      <w:pPr>
        <w:spacing w:after="0" w:line="150" w:lineRule="exact"/>
        <w:rPr>
          <w:rFonts w:ascii="Times New Roman" w:cs="Times New Roman" w:eastAsia="Times New Roman" w:hAnsi="Times New Roman"/>
          <w:sz w:val="16"/>
          <w:szCs w:val="16"/>
          <w:color w:val="auto"/>
        </w:rPr>
      </w:pPr>
    </w:p>
    <w:p>
      <w:pPr>
        <w:ind w:left="566" w:right="200" w:hanging="286"/>
        <w:spacing w:after="0" w:line="267" w:lineRule="auto"/>
        <w:tabs>
          <w:tab w:leader="none" w:pos="56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Director represents and warrants that he is not a party to any agreement or instrument which would prevent him from entering into or performing his duties under this Agreement.</w:t>
      </w:r>
    </w:p>
    <w:p>
      <w:pPr>
        <w:spacing w:after="0" w:line="150" w:lineRule="exact"/>
        <w:rPr>
          <w:rFonts w:ascii="Times New Roman" w:cs="Times New Roman" w:eastAsia="Times New Roman" w:hAnsi="Times New Roman"/>
          <w:sz w:val="16"/>
          <w:szCs w:val="16"/>
          <w:color w:val="auto"/>
        </w:rPr>
      </w:pPr>
    </w:p>
    <w:p>
      <w:pPr>
        <w:ind w:left="286" w:right="40" w:hanging="286"/>
        <w:spacing w:after="0" w:line="251"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The Board Director agrees to be subject to the Company’s reasonable policies concerning Confidentiality and Non-Disclosure as in effect from time to time. The Company agrees that nothing herein or therein shall prevent the Board Director from rendering services in any capacity to any other person or business from time to time, subject to the compliance with any confidentiality and non-disclosure obligations, to the Board Director’s obligations as a fiduciary of the Company and to applicable law.</w:t>
      </w:r>
    </w:p>
    <w:p>
      <w:pPr>
        <w:spacing w:after="0" w:line="163" w:lineRule="exact"/>
        <w:rPr>
          <w:rFonts w:ascii="Times New Roman" w:cs="Times New Roman" w:eastAsia="Times New Roman" w:hAnsi="Times New Roman"/>
          <w:sz w:val="16"/>
          <w:szCs w:val="16"/>
          <w:color w:val="auto"/>
        </w:rPr>
      </w:pPr>
    </w:p>
    <w:p>
      <w:pPr>
        <w:ind w:left="286" w:hanging="286"/>
        <w:spacing w:after="0" w:line="249" w:lineRule="auto"/>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Fiduciary Duties.</w:t>
      </w:r>
      <w:r>
        <w:rPr>
          <w:rFonts w:ascii="Times New Roman" w:cs="Times New Roman" w:eastAsia="Times New Roman" w:hAnsi="Times New Roman"/>
          <w:sz w:val="16"/>
          <w:szCs w:val="16"/>
          <w:color w:val="auto"/>
        </w:rPr>
        <w:t xml:space="preserve"> The Board Director acknowledges and agrees that, in serving as a Board Member, the Board Director owes fiduciary duties of loyalty and care to the Company and its stockholders under applicable law. The Board Director shall discharge such duties in good faith, with the care that an ordinarily prudent person in a like position would exercise under similar circumstances, and in a manner that the Board Director reasonably believes to be in the best interests of the Company and its stockholders. The Board Director shall avoid self-dealing, conflicts of interest, or other actions that would violate such fiduciary duties and shall promptly disclose to the Board any actual or potential conflicts of interest of which the Board Director becomes aware.</w:t>
      </w:r>
    </w:p>
    <w:p>
      <w:pPr>
        <w:spacing w:after="0" w:line="16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Binding Agreement</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assignable by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338455</wp:posOffset>
            </wp:positionV>
            <wp:extent cx="715073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520" w:right="319" w:bottom="1440" w:gutter="0" w:footer="0" w:header="0"/>
        </w:sectPr>
      </w:pPr>
    </w:p>
    <w:bookmarkStart w:id="92" w:name="page93"/>
    <w:bookmarkEnd w:id="92"/>
    <w:p>
      <w:pPr>
        <w:ind w:left="566" w:hanging="286"/>
        <w:spacing w:after="0" w:line="293" w:lineRule="auto"/>
        <w:tabs>
          <w:tab w:leader="none" w:pos="56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a personal contract and the rights and interests of the Board Director hereunder may not be sold, transferred, assigned, pledged, encumbered, or hypothecated by him, except as otherwise expressly permitted by the provisions of this Agreement. This Agreement shall inure to the benefit of and be enforceable by the Board Director and his personal or legal representatives, executors, administrators, successors, heirs, distributes, devisees and legatees. If the Board Director should die while any amount would still be payable to him hereunder had the Board Director continued to live, all such amounts, unless otherwise provided herein, shall be paid in accordance with the terms of this Agreement to his devisee, legatee or other designee or, if there is no such designee, to his estate.</w:t>
      </w:r>
    </w:p>
    <w:p>
      <w:pPr>
        <w:spacing w:after="0" w:line="137" w:lineRule="exact"/>
        <w:rPr>
          <w:rFonts w:ascii="Times New Roman" w:cs="Times New Roman" w:eastAsia="Times New Roman" w:hAnsi="Times New Roman"/>
          <w:sz w:val="14"/>
          <w:szCs w:val="14"/>
          <w:color w:val="auto"/>
        </w:rPr>
      </w:pPr>
    </w:p>
    <w:p>
      <w:pPr>
        <w:jc w:val="both"/>
        <w:ind w:left="566" w:right="40" w:hanging="286"/>
        <w:spacing w:after="0" w:line="309" w:lineRule="auto"/>
        <w:tabs>
          <w:tab w:leader="none" w:pos="56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hereunder may not be assigned by the Company without the prior written consent of the Board Director. This Agreement shall be binding upon and be enforceable against the Company’s successors (including any direct or indirect successor by purchase, merger, consolidation, or otherwise to all or substantially all of the business and/or assets of the Company) and assigns and against the Board Director’s personal and legal representatives.</w:t>
      </w:r>
    </w:p>
    <w:p>
      <w:pPr>
        <w:spacing w:after="0" w:line="125" w:lineRule="exact"/>
        <w:rPr>
          <w:rFonts w:ascii="Times New Roman" w:cs="Times New Roman" w:eastAsia="Times New Roman" w:hAnsi="Times New Roman"/>
          <w:sz w:val="14"/>
          <w:szCs w:val="14"/>
          <w:color w:val="auto"/>
        </w:rPr>
      </w:pPr>
    </w:p>
    <w:p>
      <w:pPr>
        <w:ind w:left="286" w:right="20" w:hanging="286"/>
        <w:spacing w:after="0" w:line="251" w:lineRule="auto"/>
        <w:tabs>
          <w:tab w:leader="none" w:pos="28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contains all the understandings between the parties hereto pertaining to the matters referred to herein, and on the Effective Date shall supersede all undertakings and agreements, whether oral or in writing, previously entered into by them with respect hereto. The Board Director represents that, in executing this Agreement, he does not rely and has not relied upon any representation or statement not set forth herein made by the Company with regard to the subject matter, bases or effect of this Agreement or otherwise.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1" w:lineRule="auto"/>
        <w:tabs>
          <w:tab w:leader="none" w:pos="28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or Modification; Waiver</w:t>
      </w:r>
      <w:r>
        <w:rPr>
          <w:rFonts w:ascii="Times New Roman" w:cs="Times New Roman" w:eastAsia="Times New Roman" w:hAnsi="Times New Roman"/>
          <w:sz w:val="16"/>
          <w:szCs w:val="16"/>
          <w:color w:val="auto"/>
        </w:rPr>
        <w:t>. No provision of this Agreement may be amended or waived unless such amendment or waiver is agreed to in writing, signed by the Board and by a duly authorized officer of the Company.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5" w:lineRule="auto"/>
        <w:tabs>
          <w:tab w:leader="none" w:pos="28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hereunder shall be in writing and shall be deemed given when delivered personally, sent by courier or telecopy (including e-mail transmission) or registered or certified mail, postage prepaid, return receipt requested, addressed to the party concerned at the address indicated below or to such other address as such party may subsequently give notice of hereunder in writing:</w:t>
      </w:r>
    </w:p>
    <w:p>
      <w:pPr>
        <w:spacing w:after="0" w:line="160" w:lineRule="exact"/>
        <w:rPr>
          <w:sz w:val="20"/>
          <w:szCs w:val="20"/>
          <w:color w:val="auto"/>
        </w:rPr>
      </w:pPr>
    </w:p>
    <w:tbl>
      <w:tblPr>
        <w:tblLayout w:type="fixed"/>
        <w:tblInd w:w="2266" w:type="dxa"/>
        <w:tblCellMar>
          <w:top w:w="0" w:type="dxa"/>
          <w:left w:w="0" w:type="dxa"/>
          <w:bottom w:w="0" w:type="dxa"/>
          <w:right w:w="0" w:type="dxa"/>
        </w:tblCellMar>
      </w:tblPr>
      <w:tr>
        <w:trPr>
          <w:trHeight w:val="18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Board</w:t>
            </w: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Tevi Troy</w:t>
            </w:r>
          </w:p>
        </w:tc>
        <w:tc>
          <w:tcPr>
            <w:tcW w:w="0" w:type="dxa"/>
            <w:vAlign w:val="bottom"/>
          </w:tcPr>
          <w:p>
            <w:pPr>
              <w:spacing w:after="0"/>
              <w:rPr>
                <w:sz w:val="1"/>
                <w:szCs w:val="1"/>
                <w:color w:val="auto"/>
              </w:rPr>
            </w:pPr>
          </w:p>
        </w:tc>
      </w:tr>
      <w:tr>
        <w:trPr>
          <w:trHeight w:val="109"/>
        </w:trPr>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 at:</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tcPr>
          <w:p>
            <w:pPr>
              <w:spacing w:after="0"/>
              <w:rPr>
                <w:sz w:val="8"/>
                <w:szCs w:val="8"/>
                <w:color w:val="auto"/>
              </w:rPr>
            </w:pPr>
          </w:p>
        </w:tc>
        <w:tc>
          <w:tcPr>
            <w:tcW w:w="22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11816 Kemp Mill Road,</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Silver Spring,</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Maryland, 20902</w:t>
            </w:r>
          </w:p>
        </w:tc>
        <w:tc>
          <w:tcPr>
            <w:tcW w:w="0" w:type="dxa"/>
            <w:vAlign w:val="bottom"/>
          </w:tcPr>
          <w:p>
            <w:pPr>
              <w:spacing w:after="0"/>
              <w:rPr>
                <w:sz w:val="1"/>
                <w:szCs w:val="1"/>
                <w:color w:val="auto"/>
              </w:rPr>
            </w:pPr>
          </w:p>
        </w:tc>
      </w:tr>
      <w:tr>
        <w:trPr>
          <w:trHeight w:val="358"/>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Company at:</w:t>
            </w: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5"/>
              </w:rPr>
              <w:t>Attention: Sushma Shivaswamy,</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Interim CEO</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XBiotech, Inc.</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5217 Winnebago Ln</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Austin, TX 78744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 w:right="160"/>
        <w:spacing w:after="0" w:line="267" w:lineRule="auto"/>
        <w:rPr>
          <w:sz w:val="20"/>
          <w:szCs w:val="20"/>
          <w:color w:val="auto"/>
        </w:rPr>
      </w:pPr>
      <w:r>
        <w:rPr>
          <w:rFonts w:ascii="Times New Roman" w:cs="Times New Roman" w:eastAsia="Times New Roman" w:hAnsi="Times New Roman"/>
          <w:sz w:val="16"/>
          <w:szCs w:val="16"/>
          <w:color w:val="auto"/>
        </w:rPr>
        <w:t>Any Notice delivered personally or by courier under this Section 17 shall be deemed given on the date delivered and any notice sent by telecopy or registered or certified mail, postage paid, return receipt requested, shall be deemed given on the date telecopied or mailed.</w:t>
      </w:r>
    </w:p>
    <w:p>
      <w:pPr>
        <w:spacing w:after="0" w:line="174" w:lineRule="exact"/>
        <w:rPr>
          <w:sz w:val="20"/>
          <w:szCs w:val="20"/>
          <w:color w:val="auto"/>
        </w:rPr>
      </w:pPr>
    </w:p>
    <w:p>
      <w:pPr>
        <w:ind w:left="286" w:hanging="286"/>
        <w:spacing w:after="0" w:line="251" w:lineRule="auto"/>
        <w:tabs>
          <w:tab w:leader="none" w:pos="2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63" w:lineRule="exact"/>
        <w:rPr>
          <w:rFonts w:ascii="Times New Roman" w:cs="Times New Roman" w:eastAsia="Times New Roman" w:hAnsi="Times New Roman"/>
          <w:sz w:val="16"/>
          <w:szCs w:val="16"/>
          <w:color w:val="auto"/>
        </w:rPr>
      </w:pPr>
    </w:p>
    <w:p>
      <w:pPr>
        <w:ind w:left="286" w:right="300" w:hanging="286"/>
        <w:spacing w:after="0" w:line="267" w:lineRule="auto"/>
        <w:tabs>
          <w:tab w:leader="none" w:pos="2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Survivorship</w:t>
      </w:r>
      <w:r>
        <w:rPr>
          <w:rFonts w:ascii="Times New Roman" w:cs="Times New Roman" w:eastAsia="Times New Roman" w:hAnsi="Times New Roman"/>
          <w:sz w:val="16"/>
          <w:szCs w:val="16"/>
          <w:color w:val="auto"/>
        </w:rPr>
        <w:t>. The respective rights and obligations of the parties hereunder shall survive any termination of this Agreement to the extent necessary to the intended preservation of such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299085</wp:posOffset>
            </wp:positionV>
            <wp:extent cx="715073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93" w:name="page94"/>
    <w:bookmarkEnd w:id="93"/>
    <w:p>
      <w:pPr>
        <w:ind w:left="286" w:hanging="286"/>
        <w:spacing w:after="0" w:line="251"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Jurisdiction</w:t>
      </w:r>
      <w:r>
        <w:rPr>
          <w:rFonts w:ascii="Times New Roman" w:cs="Times New Roman" w:eastAsia="Times New Roman" w:hAnsi="Times New Roman"/>
          <w:sz w:val="16"/>
          <w:szCs w:val="16"/>
          <w:color w:val="auto"/>
        </w:rPr>
        <w:t>. This Agreement will be governed by and construed in accordance with the laws of the State of Delaware, without regard to its conflicts of the laws principles. Each of the parties to this Agreement agrees that the courts of the States of Delaware and New York shall have exclusive jurisdiction to hear and determine any claim, suit, action or proceeding, and to settle any disputes, which may arise out of or are in any way related to or in connection with this Agreement.</w:t>
      </w:r>
    </w:p>
    <w:p>
      <w:pPr>
        <w:spacing w:after="0" w:line="163" w:lineRule="exact"/>
        <w:rPr>
          <w:rFonts w:ascii="Times New Roman" w:cs="Times New Roman" w:eastAsia="Times New Roman" w:hAnsi="Times New Roman"/>
          <w:sz w:val="16"/>
          <w:szCs w:val="16"/>
          <w:color w:val="auto"/>
        </w:rPr>
      </w:pPr>
    </w:p>
    <w:p>
      <w:pPr>
        <w:ind w:left="286" w:right="140" w:hanging="286"/>
        <w:spacing w:after="0" w:line="267"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All descriptive headings of the sections and paragraphs in this Agreement are intended solely for convenience, and no provision of this Agreement is to be construed by reference to the heading of any section or paragraph</w:t>
      </w:r>
    </w:p>
    <w:p>
      <w:pPr>
        <w:spacing w:after="0" w:line="150" w:lineRule="exact"/>
        <w:rPr>
          <w:rFonts w:ascii="Times New Roman" w:cs="Times New Roman" w:eastAsia="Times New Roman" w:hAnsi="Times New Roman"/>
          <w:sz w:val="16"/>
          <w:szCs w:val="16"/>
          <w:color w:val="auto"/>
        </w:rPr>
      </w:pPr>
    </w:p>
    <w:p>
      <w:pPr>
        <w:ind w:left="286" w:hanging="286"/>
        <w:spacing w:after="0" w:line="255"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parties agree to cooperate in respect of tax withholding and reporting consequences of the arrangements described herein. The parties acknowledge that there is no U.S. federal tax withholding requirement applicable under current law to the compensation described herein. The Company agrees to facilitate, to the extent reasonably practical, the performance of the Board Director’s services in a manner that minimizes the Board Director’s U.S. tax obligations.</w:t>
      </w:r>
    </w:p>
    <w:p>
      <w:pPr>
        <w:spacing w:after="0" w:line="347" w:lineRule="exact"/>
        <w:rPr>
          <w:rFonts w:ascii="Times New Roman" w:cs="Times New Roman" w:eastAsia="Times New Roman" w:hAnsi="Times New Roman"/>
          <w:sz w:val="16"/>
          <w:szCs w:val="16"/>
          <w:color w:val="auto"/>
        </w:rPr>
      </w:pPr>
    </w:p>
    <w:p>
      <w:pPr>
        <w:ind w:left="286" w:right="200" w:hanging="286"/>
        <w:spacing w:after="0" w:line="340" w:lineRule="auto"/>
        <w:tabs>
          <w:tab w:leader="none" w:pos="28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and delivered, including by facsimile transmission or by electronic transmission in Adobe portable document format (or a "PDF file"), in counterparts, each of which shall be deemed an original, and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1454785</wp:posOffset>
            </wp:positionV>
            <wp:extent cx="715073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as of the date first above written.</w:t>
      </w:r>
    </w:p>
    <w:p>
      <w:pPr>
        <w:spacing w:after="0" w:line="18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4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TEVI TROY</w:t>
      </w:r>
    </w:p>
    <w:p>
      <w:pPr>
        <w:spacing w:after="0" w:line="3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XBIOTECH INC.</w:t>
      </w:r>
    </w:p>
    <w:p>
      <w:pPr>
        <w:spacing w:after="0" w:line="37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By:__________________________</w:t>
      </w:r>
    </w:p>
    <w:p>
      <w:pPr>
        <w:spacing w:after="0" w:line="1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2091690</wp:posOffset>
            </wp:positionV>
            <wp:extent cx="715073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499"/>
          </w:cols>
          <w:pgMar w:left="960" w:top="520"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378" w:lineRule="exact"/>
        <w:rPr>
          <w:sz w:val="20"/>
          <w:szCs w:val="20"/>
          <w:color w:val="auto"/>
        </w:rPr>
      </w:pPr>
    </w:p>
    <w:p>
      <w:pPr>
        <w:ind w:left="500" w:hanging="285"/>
        <w:spacing w:after="0"/>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As used in this Exhibit:</w:t>
      </w:r>
    </w:p>
    <w:p>
      <w:pPr>
        <w:spacing w:after="0" w:line="189" w:lineRule="exact"/>
        <w:rPr>
          <w:rFonts w:ascii="Times New Roman" w:cs="Times New Roman" w:eastAsia="Times New Roman" w:hAnsi="Times New Roman"/>
          <w:sz w:val="16"/>
          <w:szCs w:val="16"/>
          <w:color w:val="auto"/>
        </w:rPr>
      </w:pPr>
    </w:p>
    <w:p>
      <w:pPr>
        <w:ind w:right="260" w:firstLine="647"/>
        <w:spacing w:after="0" w:line="340" w:lineRule="auto"/>
        <w:tabs>
          <w:tab w:leader="none" w:pos="956"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xml:space="preserve"> with respect to any request by the Board Director for indemnification or advancement of expenses hereunder shall mean a director of the Company who neither is nor was a party to the Proceeding (as defined below) in respect of which indemnification or advancement is being sought by the Board Director.</w:t>
      </w:r>
    </w:p>
    <w:p>
      <w:pPr>
        <w:spacing w:after="0" w:line="104" w:lineRule="exact"/>
        <w:rPr>
          <w:rFonts w:ascii="Times New Roman" w:cs="Times New Roman" w:eastAsia="Times New Roman" w:hAnsi="Times New Roman"/>
          <w:sz w:val="14"/>
          <w:szCs w:val="14"/>
          <w:color w:val="auto"/>
        </w:rPr>
      </w:pPr>
    </w:p>
    <w:p>
      <w:pPr>
        <w:ind w:right="200" w:firstLine="647"/>
        <w:spacing w:after="0" w:line="249" w:lineRule="auto"/>
        <w:tabs>
          <w:tab w:leader="none" w:pos="923"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shall mean any expense, liability or loss, including, without limitation, damages, judgments, fines, penalties, settlements (if, and only if, such settlement is approved in advance by the Company, which approval shall not be unreasonably withheld) and costs, attorneys’ fees and disbursements and costs of attachment or similar bond, investigations, liabilities, losses, taxes, any expense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 under this Exhibit.</w:t>
      </w:r>
    </w:p>
    <w:p>
      <w:pPr>
        <w:spacing w:after="0" w:line="165" w:lineRule="exact"/>
        <w:rPr>
          <w:rFonts w:ascii="Times New Roman" w:cs="Times New Roman" w:eastAsia="Times New Roman" w:hAnsi="Times New Roman"/>
          <w:sz w:val="16"/>
          <w:szCs w:val="16"/>
          <w:color w:val="auto"/>
        </w:rPr>
      </w:pPr>
    </w:p>
    <w:p>
      <w:pPr>
        <w:ind w:right="20" w:firstLine="647"/>
        <w:spacing w:after="0" w:line="290" w:lineRule="auto"/>
        <w:tabs>
          <w:tab w:leader="none" w:pos="914"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Independent Legal Counsel”</w:t>
      </w:r>
      <w:r>
        <w:rPr>
          <w:rFonts w:ascii="Times New Roman" w:cs="Times New Roman" w:eastAsia="Times New Roman" w:hAnsi="Times New Roman"/>
          <w:sz w:val="14"/>
          <w:szCs w:val="14"/>
          <w:color w:val="auto"/>
        </w:rPr>
        <w:t xml:space="preserve"> shall mean any firm of attorneys that is reasonably selected by the Board, so long as such firm is not presently representing and has not in the preceding five (5) years represented the Company, the Company’s subsidiaries or affiliates, the Board Director, any entity controlled by the Board Director, or any party adverse to the Company in any matter material to any such party (other than with respect to matters concerning the Board Director under this Exhibit, or of other Board Directors under similar indemnification Exhibits). Notwithstanding the foregoing, the term “Independent Legal Counsel” shall not include any person who, under applicable standards of professional conduct then prevailing, would have a conflict of interest in representing either the Company or the Board Director in an action to determine the Board Director’s right to indemnification or advancement of expenses under this Exhibit, the Company’s Articles of Association (the “</w:t>
      </w:r>
      <w:r>
        <w:rPr>
          <w:rFonts w:ascii="Times New Roman" w:cs="Times New Roman" w:eastAsia="Times New Roman" w:hAnsi="Times New Roman"/>
          <w:sz w:val="14"/>
          <w:szCs w:val="14"/>
          <w:u w:val="single" w:color="auto"/>
          <w:color w:val="auto"/>
        </w:rPr>
        <w:t>Articles”</w:t>
      </w:r>
      <w:r>
        <w:rPr>
          <w:rFonts w:ascii="Times New Roman" w:cs="Times New Roman" w:eastAsia="Times New Roman" w:hAnsi="Times New Roman"/>
          <w:sz w:val="14"/>
          <w:szCs w:val="14"/>
          <w:color w:val="auto"/>
        </w:rPr>
        <w:t>), applicable law or otherwise.</w:t>
      </w:r>
    </w:p>
    <w:p>
      <w:pPr>
        <w:spacing w:after="0" w:line="139" w:lineRule="exact"/>
        <w:rPr>
          <w:rFonts w:ascii="Times New Roman" w:cs="Times New Roman" w:eastAsia="Times New Roman" w:hAnsi="Times New Roman"/>
          <w:sz w:val="14"/>
          <w:szCs w:val="14"/>
          <w:color w:val="auto"/>
        </w:rPr>
      </w:pPr>
    </w:p>
    <w:p>
      <w:pPr>
        <w:ind w:right="40" w:firstLine="647"/>
        <w:spacing w:after="0" w:line="246" w:lineRule="auto"/>
        <w:tabs>
          <w:tab w:leader="none" w:pos="923"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shall mean any threatened, pending or completed action, suit, arbitration, alternate dispute resolution mechanism, investigation, inquiry, hearing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in which the Board Director was, is or will be involved as a party or otherwise, by reason of (i) the fact that the Board Director is or was a director (or a director appointee) of the Company, or is or was serving at the request of the Company as an agent of another enterprise, (ii) any actual or alleged act or omission or neglect or breach of duty, including, without limitation, any actual or alleged error or misstatement or misleading statement, which the Board Director commits or suffers while acting in any such capacity, or (iii) the Board Director attempting to establish or establishing a right to indemnification or advancement of expenses pursuant to this Exhibit, the Articles, applicable law or otherwise, in each case whether or not the Board Director is acting or serving in any such capacity at the time any liability or expense is incurred for which indemnification can be provided under this Exhibit.</w:t>
      </w:r>
    </w:p>
    <w:p>
      <w:pPr>
        <w:spacing w:after="0" w:line="169" w:lineRule="exact"/>
        <w:rPr>
          <w:rFonts w:ascii="Times New Roman" w:cs="Times New Roman" w:eastAsia="Times New Roman" w:hAnsi="Times New Roman"/>
          <w:sz w:val="16"/>
          <w:szCs w:val="16"/>
          <w:color w:val="auto"/>
        </w:rPr>
      </w:pPr>
    </w:p>
    <w:p>
      <w:pPr>
        <w:ind w:firstLine="647"/>
        <w:spacing w:after="0" w:line="247" w:lineRule="auto"/>
        <w:tabs>
          <w:tab w:leader="none" w:pos="914"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phrase “</w:t>
      </w:r>
      <w:r>
        <w:rPr>
          <w:rFonts w:ascii="Times New Roman" w:cs="Times New Roman" w:eastAsia="Times New Roman" w:hAnsi="Times New Roman"/>
          <w:sz w:val="16"/>
          <w:szCs w:val="16"/>
          <w:u w:val="single" w:color="auto"/>
          <w:color w:val="auto"/>
        </w:rPr>
        <w:t>serving at the request of the Company as an agent of another enterprise”</w:t>
      </w:r>
      <w:r>
        <w:rPr>
          <w:rFonts w:ascii="Times New Roman" w:cs="Times New Roman" w:eastAsia="Times New Roman" w:hAnsi="Times New Roman"/>
          <w:sz w:val="16"/>
          <w:szCs w:val="16"/>
          <w:color w:val="auto"/>
        </w:rPr>
        <w:t xml:space="preserve">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 or an executive officer of the Company which imposes duties on, or involves services by, such director or executive officer with respect to the Company or any of the Company’s subsidiaries, affiliates, employee benefit or welfare plans, such plan’s participants or beneficiaries or any other enterprise, foreign or domestic. In the event that the Board Director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Board Director is so acting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5073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96" w:name="page97"/>
    <w:bookmarkEnd w:id="96"/>
    <w:p>
      <w:pPr>
        <w:ind w:left="-367" w:right="300" w:firstLine="367"/>
        <w:spacing w:after="0" w:line="267" w:lineRule="auto"/>
        <w:tabs>
          <w:tab w:leader="none" w:pos="27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Subject to Section 6 below, the Company hereby agrees to hold harmless and indemnify the Board Director to the fullest extent permitted by law. In furtherance of the foregoing indemnification and without limiting the generality thereof:</w:t>
      </w:r>
    </w:p>
    <w:p>
      <w:pPr>
        <w:spacing w:after="0" w:line="150" w:lineRule="exact"/>
        <w:rPr>
          <w:rFonts w:ascii="Times New Roman" w:cs="Times New Roman" w:eastAsia="Times New Roman" w:hAnsi="Times New Roman"/>
          <w:sz w:val="16"/>
          <w:szCs w:val="16"/>
          <w:color w:val="auto"/>
        </w:rPr>
      </w:pPr>
    </w:p>
    <w:p>
      <w:pPr>
        <w:jc w:val="both"/>
        <w:ind w:left="-367" w:right="160" w:firstLine="647"/>
        <w:spacing w:after="0" w:line="255" w:lineRule="auto"/>
        <w:tabs>
          <w:tab w:leader="none" w:pos="55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The Company shall indemnify the Board Director if the Board Director is a party to or threatened to be made a party to or is otherwise involved in any Proceeding against all Expenses which are actually and reasonably incurred by the Board Director in connection with such a Proceeding, if the Board Director acted in good faith and in a manner the Board Director reasonably believed to be in, or not opposed to, the best interests of the Company.</w:t>
      </w:r>
    </w:p>
    <w:p>
      <w:pPr>
        <w:spacing w:after="0" w:line="160" w:lineRule="exact"/>
        <w:rPr>
          <w:rFonts w:ascii="Times New Roman" w:cs="Times New Roman" w:eastAsia="Times New Roman" w:hAnsi="Times New Roman"/>
          <w:sz w:val="16"/>
          <w:szCs w:val="16"/>
          <w:color w:val="auto"/>
        </w:rPr>
      </w:pPr>
    </w:p>
    <w:p>
      <w:pPr>
        <w:ind w:left="-367" w:right="300" w:firstLine="647"/>
        <w:spacing w:after="0" w:line="255" w:lineRule="auto"/>
        <w:tabs>
          <w:tab w:leader="none" w:pos="559"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for Expenses of Witness.</w:t>
      </w:r>
      <w:r>
        <w:rPr>
          <w:rFonts w:ascii="Times New Roman" w:cs="Times New Roman" w:eastAsia="Times New Roman" w:hAnsi="Times New Roman"/>
          <w:sz w:val="16"/>
          <w:szCs w:val="16"/>
          <w:color w:val="auto"/>
        </w:rPr>
        <w:t xml:space="preserve"> Notwithstanding any other provision of this Exhibit, to the extent that the Board Director has prepared to serve or has served as a witness or is made to respond to discovery requests in any Proceeding to which the Board Director is not a party, the Board Director shall be indemnified against all Expenses actually and reasonably incurred by the Board Director in connection therewith.</w:t>
      </w:r>
    </w:p>
    <w:p>
      <w:pPr>
        <w:spacing w:after="0" w:line="160" w:lineRule="exact"/>
        <w:rPr>
          <w:rFonts w:ascii="Times New Roman" w:cs="Times New Roman" w:eastAsia="Times New Roman" w:hAnsi="Times New Roman"/>
          <w:sz w:val="16"/>
          <w:szCs w:val="16"/>
          <w:color w:val="auto"/>
        </w:rPr>
      </w:pPr>
    </w:p>
    <w:p>
      <w:pPr>
        <w:jc w:val="both"/>
        <w:ind w:left="-367" w:right="400" w:firstLine="647"/>
        <w:spacing w:after="0" w:line="255" w:lineRule="auto"/>
        <w:tabs>
          <w:tab w:leader="none" w:pos="55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Partial Indemnification.</w:t>
      </w:r>
      <w:r>
        <w:rPr>
          <w:rFonts w:ascii="Times New Roman" w:cs="Times New Roman" w:eastAsia="Times New Roman" w:hAnsi="Times New Roman"/>
          <w:sz w:val="16"/>
          <w:szCs w:val="16"/>
          <w:color w:val="auto"/>
        </w:rPr>
        <w:t xml:space="preserve"> If Board Director is entitled under any provision of this Exhibit to indemnification by the Company for some or a portion of Expenses incurred in connection with any Proceedings, but not, however, for the total amount thereof, the Company shall nevertheless indemnify Board Director for the portion of such Expenses to which Board Director is entitled.</w:t>
      </w:r>
    </w:p>
    <w:p>
      <w:pPr>
        <w:spacing w:after="0" w:line="160" w:lineRule="exact"/>
        <w:rPr>
          <w:rFonts w:ascii="Times New Roman" w:cs="Times New Roman" w:eastAsia="Times New Roman" w:hAnsi="Times New Roman"/>
          <w:sz w:val="16"/>
          <w:szCs w:val="16"/>
          <w:color w:val="auto"/>
        </w:rPr>
      </w:pPr>
    </w:p>
    <w:p>
      <w:pPr>
        <w:ind w:left="-367" w:firstLine="367"/>
        <w:spacing w:after="0" w:line="247" w:lineRule="auto"/>
        <w:tabs>
          <w:tab w:leader="none" w:pos="27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the indemnification provided in Section 2 above is unavailable to Board Director for any reason (other than those set forth in Section 6 below) in connection with a Proceeding in which the Company is jointly liable with Board Director (or would be if joined in such Proceeding), the Company, in lieu of indemnifying Board Director thereunder, shall contribute to the amount of Expenses which are actually and reasonably incurred and paid or payable by the Board Director in such proportion as is deemed fair and reasonable by the person or persons presiding over the Proceeding in light of all of the circumstances of such Proceeding in order to reflect (i) the relative benefits received by the Company and the Board Director and/or (ii) the relative fault of the Company and such Board Director in connection with the transaction or events from which such Proceeding arose. The relative fault of the Company and the Board Director shall be determined by reference to, among other things, the parties’ relative intent, knowledge, access to information and opportunity to correct or prevent the circumstances resulting in such Expenses.</w:t>
      </w:r>
    </w:p>
    <w:p>
      <w:pPr>
        <w:spacing w:after="0" w:line="168" w:lineRule="exact"/>
        <w:rPr>
          <w:rFonts w:ascii="Times New Roman" w:cs="Times New Roman" w:eastAsia="Times New Roman" w:hAnsi="Times New Roman"/>
          <w:sz w:val="16"/>
          <w:szCs w:val="16"/>
          <w:color w:val="auto"/>
        </w:rPr>
      </w:pPr>
    </w:p>
    <w:p>
      <w:pPr>
        <w:ind w:left="-367" w:right="40" w:firstLine="367"/>
        <w:spacing w:after="0" w:line="249" w:lineRule="auto"/>
        <w:tabs>
          <w:tab w:leader="none" w:pos="27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Advancement of Expenses.</w:t>
      </w:r>
      <w:r>
        <w:rPr>
          <w:rFonts w:ascii="Times New Roman" w:cs="Times New Roman" w:eastAsia="Times New Roman" w:hAnsi="Times New Roman"/>
          <w:sz w:val="16"/>
          <w:szCs w:val="16"/>
          <w:color w:val="auto"/>
        </w:rPr>
        <w:t xml:space="preserve"> The Expenses incurred by the Board Director in any Proceeding shall be paid promptly by the Company in advance of the final disposition of the Proceeding at the written request of the Board Director to the fullest extent permitted by applicable law; provided, however, that the Board Director shall set forth in such request reasonable evidence that such Expenses have been incurred by the Board Director in connection with such Proceeding and hereby undertakes to repay any advances if it is ultimately determined as provided in subsection 5(b) of this Exhibit that the Board Director is not entitled to indemnification under this Exhibit, the Articles, applicable law or otherwise.</w:t>
      </w:r>
    </w:p>
    <w:p>
      <w:pPr>
        <w:spacing w:after="0" w:line="165"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Procedure; Determination of Right to Indemnification.</w:t>
      </w:r>
    </w:p>
    <w:p>
      <w:pPr>
        <w:spacing w:after="0" w:line="189" w:lineRule="exact"/>
        <w:rPr>
          <w:rFonts w:ascii="Times New Roman" w:cs="Times New Roman" w:eastAsia="Times New Roman" w:hAnsi="Times New Roman"/>
          <w:sz w:val="16"/>
          <w:szCs w:val="16"/>
          <w:color w:val="auto"/>
        </w:rPr>
      </w:pPr>
    </w:p>
    <w:p>
      <w:pPr>
        <w:ind w:left="-367" w:right="240" w:firstLine="647"/>
        <w:spacing w:after="0" w:line="293" w:lineRule="auto"/>
        <w:tabs>
          <w:tab w:leader="none" w:pos="55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the Board Director of notice of the commencement of any Proceeding, the Board Director shall, if a claim for indemnification in respect thereof is to be made against the Company under this Exhibit, notify the Company of the commencement thereof in a written request, including therein or therewith such documentation and information as is reasonably available to Board Director and is reasonably necessary to determine whether and to what extent Board Director is entitled to indemnification. The omission to so notify the Company will not relieve the Company from any liability which the Company may have to the Board Director under this Exhibit unless the Company shall have lost significant substantive or procedural rights with respect to the defense of any Proceeding as a result of such omission to so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290830</wp:posOffset>
            </wp:positionV>
            <wp:extent cx="715073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53"/>
          </w:cols>
          <w:pgMar w:left="687" w:top="520" w:right="359" w:bottom="1440" w:gutter="0" w:footer="0" w:header="0"/>
        </w:sectPr>
      </w:pPr>
    </w:p>
    <w:bookmarkStart w:id="97" w:name="page98"/>
    <w:bookmarkEnd w:id="97"/>
    <w:p>
      <w:pPr>
        <w:ind w:left="-647" w:right="20" w:firstLine="647"/>
        <w:spacing w:after="0" w:line="293" w:lineRule="auto"/>
        <w:tabs>
          <w:tab w:leader="none" w:pos="27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Director shall be conclusively presumed to be entitled to indemnification under this Exhibit unless a determination is made that the Board Director is not entitled to indemnification under this Exhibit, the Articles, applicable law or otherwise by (i) a majority vote of the Board of a quorum consisting of Disinterested Directors or (ii) if a quorum of the Board consisting of Disinterested Directors is not obtainable, by Independent Legal Counsel in a written opinion to the Board, a copy of which shall be delivered to the Board Director. The Board Director agrees that the delivery of such opinion to the Board Director does not constitute a waiver of any privilege or doctrine, including the attorney-client privilege and the work product doctrine, with respect to any other communication between the Independent Legal Counsel and its client or clients.</w:t>
      </w:r>
    </w:p>
    <w:p>
      <w:pPr>
        <w:spacing w:after="0" w:line="137" w:lineRule="exact"/>
        <w:rPr>
          <w:rFonts w:ascii="Times New Roman" w:cs="Times New Roman" w:eastAsia="Times New Roman" w:hAnsi="Times New Roman"/>
          <w:sz w:val="14"/>
          <w:szCs w:val="14"/>
          <w:color w:val="auto"/>
        </w:rPr>
      </w:pPr>
    </w:p>
    <w:p>
      <w:pPr>
        <w:ind w:left="-647" w:firstLine="647"/>
        <w:spacing w:after="0" w:line="245" w:lineRule="auto"/>
        <w:tabs>
          <w:tab w:leader="none" w:pos="27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a determination is made that the Board Director is not entitled to indemnification under this Exhibit or (ii) a claim for indemnification or advancement of Expenses under this Exhibit is not paid by the Company within thirty (30) days after receipt by the Company of written notice thereof, the Board Director is entitled to an adjudication in any court of competent jurisdiction. Such judicial proceeding shall be made de novo. The burden of proving that indemnification or advances are not appropriate shall be on the Company. Neither the failure of the directors of the Company or Independent Legal Counsel to have made a determination prior to the commencement of such action that indemnification or advancement of Expenses is proper in the circumstances because the Board Director has met the applicable standard of conduct, if any, nor an actual determination by the directors of the Company or Independent Legal Counsel that the Board Director has not met the applicable standard of conduct shall be a defense to an action by the Board Director or create a presumption for the purpose of such an action that the Board Director has not met the applicable standard of conduct. The termination of any Proceeding by judgment, order, settlement or conviction, or upon a plea of nolo contendere or its equivalent, shall not, of itself (i) create a presumption that the Board Director did not act in good faith and in a manner which he reasonably believed to be in the best interests of the Company and/or its shareholders, and, with respect to any criminal Proceeding, that the Board Director had reasonable cause to believe that his conduct was unlawful or (ii) otherwise adversely affect the rights of the Board Director to indemnification or advancement of Expenses under this Exhibit, except as may be provided herein.</w:t>
      </w:r>
    </w:p>
    <w:p>
      <w:pPr>
        <w:spacing w:after="0" w:line="174" w:lineRule="exact"/>
        <w:rPr>
          <w:rFonts w:ascii="Times New Roman" w:cs="Times New Roman" w:eastAsia="Times New Roman" w:hAnsi="Times New Roman"/>
          <w:sz w:val="16"/>
          <w:szCs w:val="16"/>
          <w:color w:val="auto"/>
        </w:rPr>
      </w:pPr>
    </w:p>
    <w:p>
      <w:pPr>
        <w:ind w:left="-647" w:right="200" w:firstLine="647"/>
        <w:spacing w:after="0" w:line="340" w:lineRule="auto"/>
        <w:tabs>
          <w:tab w:leader="none" w:pos="27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of competent jurisdiction shall determine that the Board Director is entitled to any indemnification or advancement of Expenses hereunder, the Company shall pay all Expenses actually and reasonably incurred by the Board Director in connection with such adjudication (including, but not limited to, any appellate proceedings).</w:t>
      </w:r>
    </w:p>
    <w:p>
      <w:pPr>
        <w:spacing w:after="0" w:line="104" w:lineRule="exact"/>
        <w:rPr>
          <w:rFonts w:ascii="Times New Roman" w:cs="Times New Roman" w:eastAsia="Times New Roman" w:hAnsi="Times New Roman"/>
          <w:sz w:val="14"/>
          <w:szCs w:val="14"/>
          <w:color w:val="auto"/>
        </w:rPr>
      </w:pPr>
    </w:p>
    <w:p>
      <w:pPr>
        <w:jc w:val="both"/>
        <w:ind w:left="-647" w:right="20" w:firstLine="647"/>
        <w:spacing w:after="0" w:line="251" w:lineRule="auto"/>
        <w:tabs>
          <w:tab w:leader="none" w:pos="26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Board Director. After notice from the Company to the Board Director of its election to assume the defense of a Proceeding, the Company will not be liable to the Board Director under this Exhibit for any Expenses subsequently incurred by the Board Director in connection with the defense thereof, other than as provided below.</w:t>
      </w:r>
    </w:p>
    <w:p>
      <w:pPr>
        <w:spacing w:after="0" w:line="163" w:lineRule="exact"/>
        <w:rPr>
          <w:rFonts w:ascii="Times New Roman" w:cs="Times New Roman" w:eastAsia="Times New Roman" w:hAnsi="Times New Roman"/>
          <w:sz w:val="16"/>
          <w:szCs w:val="16"/>
          <w:color w:val="auto"/>
        </w:rPr>
      </w:pPr>
    </w:p>
    <w:p>
      <w:pPr>
        <w:ind w:left="-647" w:right="20" w:firstLine="647"/>
        <w:spacing w:after="0" w:line="247" w:lineRule="auto"/>
        <w:tabs>
          <w:tab w:leader="none" w:pos="25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settle any Proceeding in any manner which would impose any penalty or limitation on the Board Director without the Board Director’s written consent. The Board Director shall have the right to employ his own counsel in any Proceeding, but the fees and expenses of such counsel incurred after notice from the Company of its assumption of the defense of the Proceeding shall be at the expense of the Board Director, unless (i) the employment of counsel by the Board Director has been authorized by the Company, (ii) the Board Director shall have reasonably concluded that there may be a conflict of interest between the Company and the Board Director in the conduct of the defense of a Proceeding, or (iii) the Company shall not in fact have employed counsel to assume the defense of a proceeding, in each of which cases the fees and expenses of the Board Director’s counsel shall be advanced by the Company. The Company shall not be entitled to assume the defense of any Proceeding brought by or on behalf of the Company or as to which the Board Director has reasonably concluded that there may be a conflict of interest between the Company and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309880</wp:posOffset>
            </wp:positionV>
            <wp:extent cx="715073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593"/>
          </w:cols>
          <w:pgMar w:left="967" w:top="520" w:right="339" w:bottom="1440" w:gutter="0" w:footer="0" w:header="0"/>
        </w:sectPr>
      </w:pPr>
    </w:p>
    <w:bookmarkStart w:id="98" w:name="page99"/>
    <w:bookmarkEnd w:id="98"/>
    <w:p>
      <w:pPr>
        <w:jc w:val="both"/>
        <w:ind w:left="-367" w:right="340" w:firstLine="647"/>
        <w:spacing w:after="0" w:line="255" w:lineRule="auto"/>
        <w:tabs>
          <w:tab w:leader="none" w:pos="55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Director shall give the Company such information and cooperation as it may reasonably require and as shall be within Board Director’s power. Subject to Section 3, the Company shall not be liable to indemnify the Board Director under this Exhibit with regard to any judicial action if the Company was not given a reasonable and timely opportunity, at its expense, to participate in the defense, conduct and/or settlement of such action.</w:t>
      </w:r>
    </w:p>
    <w:p>
      <w:pPr>
        <w:spacing w:after="0" w:line="160" w:lineRule="exact"/>
        <w:rPr>
          <w:rFonts w:ascii="Times New Roman" w:cs="Times New Roman" w:eastAsia="Times New Roman" w:hAnsi="Times New Roman"/>
          <w:sz w:val="16"/>
          <w:szCs w:val="16"/>
          <w:color w:val="auto"/>
        </w:rPr>
      </w:pPr>
    </w:p>
    <w:p>
      <w:pPr>
        <w:ind w:left="-367" w:right="660" w:firstLine="367"/>
        <w:spacing w:after="0" w:line="267" w:lineRule="auto"/>
        <w:tabs>
          <w:tab w:leader="none" w:pos="27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Indemnification.</w:t>
      </w:r>
      <w:r>
        <w:rPr>
          <w:rFonts w:ascii="Times New Roman" w:cs="Times New Roman" w:eastAsia="Times New Roman" w:hAnsi="Times New Roman"/>
          <w:sz w:val="16"/>
          <w:szCs w:val="16"/>
          <w:color w:val="auto"/>
        </w:rPr>
        <w:t xml:space="preserve"> Notwithstanding any provision in this Exhibit, the Company shall not be obligated under this Exhibit to make any indemnity in connection with any claim made against the Board Director:</w:t>
      </w:r>
    </w:p>
    <w:p>
      <w:pPr>
        <w:spacing w:after="0" w:line="150" w:lineRule="exact"/>
        <w:rPr>
          <w:rFonts w:ascii="Times New Roman" w:cs="Times New Roman" w:eastAsia="Times New Roman" w:hAnsi="Times New Roman"/>
          <w:sz w:val="16"/>
          <w:szCs w:val="16"/>
          <w:color w:val="auto"/>
        </w:rPr>
      </w:pPr>
    </w:p>
    <w:p>
      <w:pPr>
        <w:ind w:left="-367" w:right="100" w:firstLine="647"/>
        <w:spacing w:after="0" w:line="248" w:lineRule="auto"/>
        <w:tabs>
          <w:tab w:leader="none" w:pos="55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Proceeding initiated or brought voluntarily by the Board Director and not by way of defense, unless (i) the Board authorized the Proceeding prior to its initiation or (ii) the Proceeding is to enforce indemnification rights under this Exhibit, the Articles, applicable law or otherwise and either (A) Board Director is successful in such Proceeding in establishing Board Director’s right, in whole or in part, to indemnification or advancement of Expenses hereunder (in which case such indemnification or advancement shall be to the fullest extent permitted by this Exhibit) or (B) the court in such Proceeding shall determine that, despite Board Director’s failure to establish his right to indemnification, Board Director is entitled to indemnity for such expenses (in which case such indemnification or advancement shall be to the extent provided by such court);</w:t>
      </w:r>
    </w:p>
    <w:p>
      <w:pPr>
        <w:spacing w:after="0" w:line="166" w:lineRule="exact"/>
        <w:rPr>
          <w:rFonts w:ascii="Times New Roman" w:cs="Times New Roman" w:eastAsia="Times New Roman" w:hAnsi="Times New Roman"/>
          <w:sz w:val="16"/>
          <w:szCs w:val="16"/>
          <w:color w:val="auto"/>
        </w:rPr>
      </w:pPr>
    </w:p>
    <w:p>
      <w:pPr>
        <w:ind w:left="-367" w:firstLine="647"/>
        <w:spacing w:after="0" w:line="255" w:lineRule="auto"/>
        <w:tabs>
          <w:tab w:leader="none" w:pos="55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Board Director preparing to serve or serving as a witness in voluntary cooperation with any non-governmental or non-regulatory party or entity who or which has threatened or commenced any action or proceeding against the Company, or any director, officer, employee, trustee, agent, representative, subsidiary, parent corporation or affiliate of the Company, but such indemnification may be provided by the Company if the Board finds it to be appropriate;</w:t>
      </w:r>
    </w:p>
    <w:p>
      <w:pPr>
        <w:spacing w:after="0" w:line="160" w:lineRule="exact"/>
        <w:rPr>
          <w:rFonts w:ascii="Times New Roman" w:cs="Times New Roman" w:eastAsia="Times New Roman" w:hAnsi="Times New Roman"/>
          <w:sz w:val="16"/>
          <w:szCs w:val="16"/>
          <w:color w:val="auto"/>
        </w:rPr>
      </w:pPr>
    </w:p>
    <w:p>
      <w:pPr>
        <w:ind w:left="-367" w:right="60" w:firstLine="647"/>
        <w:spacing w:after="0" w:line="267" w:lineRule="auto"/>
        <w:tabs>
          <w:tab w:leader="none" w:pos="55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which payment has actually been made to the Board Director under a valid and collectible insurance policy, except in respect of any excess beyond the amount of payment under such insurance policy;</w:t>
      </w:r>
    </w:p>
    <w:p>
      <w:pPr>
        <w:spacing w:after="0" w:line="150" w:lineRule="exact"/>
        <w:rPr>
          <w:rFonts w:ascii="Times New Roman" w:cs="Times New Roman" w:eastAsia="Times New Roman" w:hAnsi="Times New Roman"/>
          <w:sz w:val="16"/>
          <w:szCs w:val="16"/>
          <w:color w:val="auto"/>
        </w:rPr>
      </w:pPr>
    </w:p>
    <w:p>
      <w:pPr>
        <w:ind w:left="-367" w:right="40" w:firstLine="647"/>
        <w:spacing w:after="0" w:line="267" w:lineRule="auto"/>
        <w:tabs>
          <w:tab w:leader="none" w:pos="55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 accounting of profits made from the purchase or sale by the Board Director of securities of the Company pursuant to the provisions of Section 16(b) of the Act or similar provisions of any federal, state or local statute or regulation;</w:t>
      </w:r>
    </w:p>
    <w:p>
      <w:pPr>
        <w:spacing w:after="0" w:line="150" w:lineRule="exact"/>
        <w:rPr>
          <w:rFonts w:ascii="Times New Roman" w:cs="Times New Roman" w:eastAsia="Times New Roman" w:hAnsi="Times New Roman"/>
          <w:sz w:val="16"/>
          <w:szCs w:val="16"/>
          <w:color w:val="auto"/>
        </w:rPr>
      </w:pPr>
    </w:p>
    <w:p>
      <w:pPr>
        <w:ind w:left="553" w:hanging="273"/>
        <w:spacing w:after="0"/>
        <w:tabs>
          <w:tab w:leader="none" w:pos="553"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court of competent jurisdiction finally determines that such indemnification is unlawful;</w:t>
      </w:r>
    </w:p>
    <w:p>
      <w:pPr>
        <w:spacing w:after="0" w:line="189" w:lineRule="exact"/>
        <w:rPr>
          <w:rFonts w:ascii="Times New Roman" w:cs="Times New Roman" w:eastAsia="Times New Roman" w:hAnsi="Times New Roman"/>
          <w:sz w:val="16"/>
          <w:szCs w:val="16"/>
          <w:color w:val="auto"/>
        </w:rPr>
      </w:pPr>
    </w:p>
    <w:p>
      <w:pPr>
        <w:ind w:left="-367" w:right="20" w:firstLine="647"/>
        <w:spacing w:after="0" w:line="267" w:lineRule="auto"/>
        <w:tabs>
          <w:tab w:leader="none" w:pos="533"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proviso in Section 6(a) hereof, in connection with any dispute or breach arising under any contract or similar obligation between the Company or any of its subsidiaries or affiliates and such Board Director.</w:t>
      </w:r>
    </w:p>
    <w:p>
      <w:pPr>
        <w:spacing w:after="0" w:line="150" w:lineRule="exact"/>
        <w:rPr>
          <w:rFonts w:ascii="Times New Roman" w:cs="Times New Roman" w:eastAsia="Times New Roman" w:hAnsi="Times New Roman"/>
          <w:sz w:val="16"/>
          <w:szCs w:val="16"/>
          <w:color w:val="auto"/>
        </w:rPr>
      </w:pPr>
    </w:p>
    <w:p>
      <w:pPr>
        <w:ind w:left="-367" w:right="160" w:firstLine="367"/>
        <w:spacing w:after="0" w:line="309" w:lineRule="auto"/>
        <w:tabs>
          <w:tab w:leader="none" w:pos="279"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To the extent the Company maintains a Directors &amp; Officers liability insurance policy, the Board Director shall be covered to the fullest extent available for acts performed in the capacity of a director or while serving at the Company’s request for another enterprise. Such insurance shall provide for the advancement of defense costs in accordance with the indemnification provisions herein and shall be complementary to, and shall not limit, the Board Director’s rights to indemnification under this Agreement.</w:t>
      </w:r>
    </w:p>
    <w:p>
      <w:pPr>
        <w:spacing w:after="0" w:line="125" w:lineRule="exact"/>
        <w:rPr>
          <w:rFonts w:ascii="Times New Roman" w:cs="Times New Roman" w:eastAsia="Times New Roman" w:hAnsi="Times New Roman"/>
          <w:sz w:val="14"/>
          <w:szCs w:val="14"/>
          <w:color w:val="auto"/>
        </w:rPr>
      </w:pPr>
    </w:p>
    <w:p>
      <w:pPr>
        <w:ind w:left="-367" w:right="120" w:firstLine="367"/>
        <w:spacing w:after="0" w:line="249" w:lineRule="auto"/>
        <w:tabs>
          <w:tab w:leader="none" w:pos="27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Continuation of Indemnification.</w:t>
      </w:r>
      <w:r>
        <w:rPr>
          <w:rFonts w:ascii="Times New Roman" w:cs="Times New Roman" w:eastAsia="Times New Roman" w:hAnsi="Times New Roman"/>
          <w:sz w:val="16"/>
          <w:szCs w:val="16"/>
          <w:color w:val="auto"/>
        </w:rPr>
        <w:t xml:space="preserve"> All Exhibits and obligations of the Company contained herein shall continue during the period that the Board Director is a director of the Company (or is or was serving at the request of the Company as an agent of another enterprise, foreign or domestic) and shall continue thereafter so long as the Board Director shall be subject to any Proceeding by reason of the fact that the Board Director is or was a director of the Company or is or was serving in any other capacity referred to in this Section 8. This Exhibit shall continue in effect regardless of whether the Board Director continues to serve as a director of the Company or as an agent of another enterprise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308610</wp:posOffset>
            </wp:positionV>
            <wp:extent cx="715073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73"/>
          </w:cols>
          <w:pgMar w:left="687" w:top="520" w:right="339" w:bottom="1440" w:gutter="0" w:footer="0" w:header="0"/>
        </w:sectPr>
      </w:pPr>
    </w:p>
    <w:bookmarkStart w:id="99" w:name="page100"/>
    <w:bookmarkEnd w:id="99"/>
    <w:p>
      <w:pPr>
        <w:jc w:val="both"/>
        <w:ind w:left="-367" w:right="360" w:firstLine="367"/>
        <w:spacing w:after="0" w:line="251" w:lineRule="auto"/>
        <w:tabs>
          <w:tab w:leader="none" w:pos="27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Hereunder Not Exclusive.</w:t>
      </w:r>
      <w:r>
        <w:rPr>
          <w:rFonts w:ascii="Times New Roman" w:cs="Times New Roman" w:eastAsia="Times New Roman" w:hAnsi="Times New Roman"/>
          <w:sz w:val="16"/>
          <w:szCs w:val="16"/>
          <w:color w:val="auto"/>
        </w:rPr>
        <w:t xml:space="preserve"> The indemnification provided by this Exhibit shall not be deemed to be exclusive of any other rights to which the Board Director may be entitled under the Articles, Director Appointment Letter, any Exhibit, vote of shareholders or vote of Disinterested Directors, provisions of applicable law, or otherwise, both as to action or omission in the Board Director’s official capacity and as to action or omission in another capacity on behalf of the Company while holding such office.</w:t>
      </w:r>
    </w:p>
    <w:p>
      <w:pPr>
        <w:spacing w:after="0" w:line="163" w:lineRule="exact"/>
        <w:rPr>
          <w:rFonts w:ascii="Times New Roman" w:cs="Times New Roman" w:eastAsia="Times New Roman" w:hAnsi="Times New Roman"/>
          <w:sz w:val="16"/>
          <w:szCs w:val="16"/>
          <w:color w:val="auto"/>
        </w:rPr>
      </w:pPr>
    </w:p>
    <w:p>
      <w:pPr>
        <w:ind w:left="-367" w:firstLine="367"/>
        <w:spacing w:after="0" w:line="255" w:lineRule="auto"/>
        <w:tabs>
          <w:tab w:leader="none" w:pos="31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 To Serve.</w:t>
      </w:r>
      <w:r>
        <w:rPr>
          <w:rFonts w:ascii="Times New Roman" w:cs="Times New Roman" w:eastAsia="Times New Roman" w:hAnsi="Times New Roman"/>
          <w:sz w:val="16"/>
          <w:szCs w:val="16"/>
          <w:color w:val="auto"/>
        </w:rPr>
        <w:t xml:space="preserve"> The Company acknowledges that it has entered into this Exhibit and assumes the obligations imposed on it hereby, in addition to and separate from its obligations to Board Director under the Articles, Director Appointment Letter or otherwise to induce Board Director to serve, or continue to serve, as a director of the Company, and the Company acknowledges that Board Director is relying upon this Exhibit in serving as a director of the Company.</w:t>
      </w:r>
    </w:p>
    <w:p>
      <w:pPr>
        <w:spacing w:after="0" w:line="160" w:lineRule="exact"/>
        <w:rPr>
          <w:rFonts w:ascii="Times New Roman" w:cs="Times New Roman" w:eastAsia="Times New Roman" w:hAnsi="Times New Roman"/>
          <w:sz w:val="16"/>
          <w:szCs w:val="16"/>
          <w:color w:val="auto"/>
        </w:rPr>
      </w:pPr>
    </w:p>
    <w:p>
      <w:pPr>
        <w:ind w:left="-367" w:right="160" w:firstLine="367"/>
        <w:spacing w:after="0" w:line="267" w:lineRule="auto"/>
        <w:tabs>
          <w:tab w:leader="none" w:pos="35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of Exhibit.</w:t>
      </w:r>
      <w:r>
        <w:rPr>
          <w:rFonts w:ascii="Times New Roman" w:cs="Times New Roman" w:eastAsia="Times New Roman" w:hAnsi="Times New Roman"/>
          <w:sz w:val="16"/>
          <w:szCs w:val="16"/>
          <w:color w:val="auto"/>
        </w:rPr>
        <w:t xml:space="preserve"> It is understood that the parties hereto intend this Exhibit to be interpreted and enforced so as to provide indemnification to Board Director to the fullest extent now or hereafter permitted by law.</w:t>
      </w:r>
    </w:p>
    <w:p>
      <w:pPr>
        <w:spacing w:after="0" w:line="150" w:lineRule="exact"/>
        <w:rPr>
          <w:rFonts w:ascii="Times New Roman" w:cs="Times New Roman" w:eastAsia="Times New Roman" w:hAnsi="Times New Roman"/>
          <w:sz w:val="16"/>
          <w:szCs w:val="16"/>
          <w:color w:val="auto"/>
        </w:rPr>
      </w:pPr>
    </w:p>
    <w:p>
      <w:pPr>
        <w:ind w:left="-367" w:right="200" w:firstLine="367"/>
        <w:spacing w:after="0" w:line="251" w:lineRule="auto"/>
        <w:tabs>
          <w:tab w:leader="none" w:pos="35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Subrogation.</w:t>
      </w:r>
      <w:r>
        <w:rPr>
          <w:rFonts w:ascii="Times New Roman" w:cs="Times New Roman" w:eastAsia="Times New Roman" w:hAnsi="Times New Roman"/>
          <w:sz w:val="16"/>
          <w:szCs w:val="16"/>
          <w:color w:val="auto"/>
        </w:rPr>
        <w:t xml:space="preserve"> In the event of payment under this Exhibit, the Company shall be subrogated to the extent of such payment to all of the rights of recovery of the Board Director, who shall execute all documents required and shall do all acts that may be necessary to secure such rights and to enable the Company effectively to bring suit to enforce such rights separate and distinct so that if any section, sentence, term or provision thereof shall be held to be invalid, unlawful or unenforceable for any reason, such invalidity, unlawfulness or unenforceability shall not affect the validity, lawfulness or enforceability of any other section, sentence, term or provision hereof.</w:t>
      </w:r>
    </w:p>
    <w:p>
      <w:pPr>
        <w:spacing w:after="0" w:line="163" w:lineRule="exact"/>
        <w:rPr>
          <w:rFonts w:ascii="Times New Roman" w:cs="Times New Roman" w:eastAsia="Times New Roman" w:hAnsi="Times New Roman"/>
          <w:sz w:val="16"/>
          <w:szCs w:val="16"/>
          <w:color w:val="auto"/>
        </w:rPr>
      </w:pPr>
    </w:p>
    <w:p>
      <w:pPr>
        <w:ind w:left="-367" w:right="40" w:firstLine="367"/>
        <w:spacing w:after="0" w:line="299" w:lineRule="auto"/>
        <w:tabs>
          <w:tab w:leader="none" w:pos="35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Savings Clause.</w:t>
      </w:r>
      <w:r>
        <w:rPr>
          <w:rFonts w:ascii="Times New Roman" w:cs="Times New Roman" w:eastAsia="Times New Roman" w:hAnsi="Times New Roman"/>
          <w:sz w:val="14"/>
          <w:szCs w:val="14"/>
          <w:color w:val="auto"/>
        </w:rPr>
        <w:t xml:space="preserve"> If this Exhibit or any section, sentence, term or provision hereof is invalidated on any ground by any court of competent jurisdiction, the Company shall nevertheless indemnify the Board Director as to any Expenses which are incurred with respect to any Proceeding to the fullest extent permitted by any (a) applicable section, sentence, term or provision of this Exhibit that has not been invalidated or (b) applicable law. To the extent required, any section, sentence, term or provision of this Exhibit may be modified by a court of competent jurisdiction to preserve its validity and to provide the Board Director with the broadest possible indemnification permitted under applicable law.</w:t>
      </w:r>
    </w:p>
    <w:p>
      <w:pPr>
        <w:sectPr>
          <w:pgSz w:w="11900" w:h="16838" w:orient="portrait"/>
          <w:cols w:equalWidth="0" w:num="1">
            <w:col w:w="10873"/>
          </w:cols>
          <w:pgMar w:left="687" w:top="52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b w:val="1"/>
          <w:bCs w:val="1"/>
          <w:color w:val="auto"/>
        </w:rPr>
        <w:t>Exhibit 10.17</w:t>
      </w:r>
    </w:p>
    <w:p>
      <w:pPr>
        <w:spacing w:after="0" w:line="1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Board Member Agreement</w:t>
      </w:r>
    </w:p>
    <w:p>
      <w:pPr>
        <w:spacing w:after="0" w:line="189"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This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dated as of the </w:t>
      </w:r>
      <w:r>
        <w:rPr>
          <w:rFonts w:ascii="Times New Roman" w:cs="Times New Roman" w:eastAsia="Times New Roman" w:hAnsi="Times New Roman"/>
          <w:sz w:val="16"/>
          <w:szCs w:val="16"/>
          <w:u w:val="single" w:color="auto"/>
          <w:color w:val="auto"/>
        </w:rPr>
        <w:t>29th</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_August_</w:t>
      </w:r>
      <w:r>
        <w:rPr>
          <w:rFonts w:ascii="Times New Roman" w:cs="Times New Roman" w:eastAsia="Times New Roman" w:hAnsi="Times New Roman"/>
          <w:sz w:val="16"/>
          <w:szCs w:val="16"/>
          <w:color w:val="auto"/>
        </w:rPr>
        <w:t xml:space="preserve"> 2025, is between, </w:t>
      </w:r>
      <w:r>
        <w:rPr>
          <w:rFonts w:ascii="Times New Roman" w:cs="Times New Roman" w:eastAsia="Times New Roman" w:hAnsi="Times New Roman"/>
          <w:sz w:val="16"/>
          <w:szCs w:val="16"/>
          <w:u w:val="single" w:color="auto"/>
          <w:color w:val="auto"/>
        </w:rPr>
        <w:t>Thomas Kündig</w:t>
      </w:r>
      <w:r>
        <w:rPr>
          <w:rFonts w:ascii="Times New Roman" w:cs="Times New Roman" w:eastAsia="Times New Roman" w:hAnsi="Times New Roman"/>
          <w:sz w:val="16"/>
          <w:szCs w:val="16"/>
          <w:color w:val="auto"/>
        </w:rPr>
        <w:t>, an individual having a residence at Alpenstrasse 23, 8803 Rüschlikon, Kanton of Zürich, Switzerland, (the “</w:t>
      </w:r>
      <w:r>
        <w:rPr>
          <w:rFonts w:ascii="Times New Roman" w:cs="Times New Roman" w:eastAsia="Times New Roman" w:hAnsi="Times New Roman"/>
          <w:sz w:val="16"/>
          <w:szCs w:val="16"/>
          <w:u w:val="single" w:color="auto"/>
          <w:color w:val="auto"/>
        </w:rPr>
        <w:t>Board Director</w:t>
      </w:r>
      <w:r>
        <w:rPr>
          <w:rFonts w:ascii="Times New Roman" w:cs="Times New Roman" w:eastAsia="Times New Roman" w:hAnsi="Times New Roman"/>
          <w:sz w:val="16"/>
          <w:szCs w:val="16"/>
          <w:color w:val="auto"/>
        </w:rPr>
        <w:t>”), and XBiotech Inc., a Canadian corporation with a place of business at 300-1055 West Hastings Street, Vancouver BC V6E 2E9 Canada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enter into this Agreement setting forth the terms and conditions of the Board Director with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89" w:lineRule="exact"/>
        <w:rPr>
          <w:sz w:val="20"/>
          <w:szCs w:val="20"/>
          <w:color w:val="auto"/>
        </w:rPr>
      </w:pPr>
    </w:p>
    <w:p>
      <w:pPr>
        <w:ind w:left="840" w:right="80" w:hanging="286"/>
        <w:spacing w:after="0" w:line="267" w:lineRule="auto"/>
        <w:tabs>
          <w:tab w:leader="none" w:pos="8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 effective as of the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upon which the Board Director becomes a duly elected or appointed member of the Board of Directors of the Company (the “Board”).</w:t>
      </w:r>
    </w:p>
    <w:p>
      <w:pPr>
        <w:spacing w:after="0" w:line="150" w:lineRule="exact"/>
        <w:rPr>
          <w:rFonts w:ascii="Times New Roman" w:cs="Times New Roman" w:eastAsia="Times New Roman" w:hAnsi="Times New Roman"/>
          <w:sz w:val="16"/>
          <w:szCs w:val="16"/>
          <w:color w:val="auto"/>
        </w:rPr>
      </w:pPr>
    </w:p>
    <w:p>
      <w:pPr>
        <w:ind w:left="840" w:right="280" w:hanging="286"/>
        <w:spacing w:after="0" w:line="267" w:lineRule="auto"/>
        <w:tabs>
          <w:tab w:leader="none" w:pos="8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commence on the Effective Date and shall remain in effect until such time as the Board Director resigns, is removed, dies or otherwise ceases to be a member of the Board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w:t>
      </w:r>
    </w:p>
    <w:p>
      <w:pPr>
        <w:spacing w:after="0" w:line="150" w:lineRule="exact"/>
        <w:rPr>
          <w:rFonts w:ascii="Times New Roman" w:cs="Times New Roman" w:eastAsia="Times New Roman" w:hAnsi="Times New Roman"/>
          <w:sz w:val="16"/>
          <w:szCs w:val="16"/>
          <w:color w:val="auto"/>
        </w:rPr>
      </w:pPr>
    </w:p>
    <w:p>
      <w:pPr>
        <w:ind w:left="840" w:hanging="286"/>
        <w:spacing w:after="0"/>
        <w:tabs>
          <w:tab w:leader="none" w:pos="8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During the Term, the Board Director shall act as a member of the Board (a “Board Member”) to the Company.</w:t>
      </w:r>
    </w:p>
    <w:p>
      <w:pPr>
        <w:spacing w:after="0" w:line="212" w:lineRule="exact"/>
        <w:rPr>
          <w:rFonts w:ascii="Times New Roman" w:cs="Times New Roman" w:eastAsia="Times New Roman" w:hAnsi="Times New Roman"/>
          <w:sz w:val="16"/>
          <w:szCs w:val="16"/>
          <w:color w:val="auto"/>
        </w:rPr>
      </w:pPr>
    </w:p>
    <w:p>
      <w:pPr>
        <w:ind w:left="840" w:right="100" w:hanging="286"/>
        <w:spacing w:after="0" w:line="249" w:lineRule="auto"/>
        <w:tabs>
          <w:tab w:leader="none" w:pos="8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 and Reporting Relationship</w:t>
      </w:r>
      <w:r>
        <w:rPr>
          <w:rFonts w:ascii="Times New Roman" w:cs="Times New Roman" w:eastAsia="Times New Roman" w:hAnsi="Times New Roman"/>
          <w:sz w:val="16"/>
          <w:szCs w:val="16"/>
          <w:color w:val="auto"/>
        </w:rPr>
        <w:t>. During the Term, the Board Director shall be generally available for mutually agreed times during business hours. The Board Director agrees that he shall represent the Company as a Board Member. Such representations may be made by the Company in SEC filings, during Presentations, Business Plans, on the Company Website, or any other place deemed fit by the Company. The Company may request that you participate in discussions, as suitable to your schedule and availability, with third parties from time to time. The Board Director may be asked to serve as a member and/or as chair of one or more committees of the Board.</w:t>
      </w:r>
    </w:p>
    <w:p>
      <w:pPr>
        <w:spacing w:after="0" w:line="165" w:lineRule="exact"/>
        <w:rPr>
          <w:rFonts w:ascii="Times New Roman" w:cs="Times New Roman" w:eastAsia="Times New Roman" w:hAnsi="Times New Roman"/>
          <w:sz w:val="16"/>
          <w:szCs w:val="16"/>
          <w:color w:val="auto"/>
        </w:rPr>
      </w:pPr>
    </w:p>
    <w:p>
      <w:pPr>
        <w:ind w:left="840" w:right="40" w:hanging="286"/>
        <w:spacing w:after="0" w:line="245" w:lineRule="auto"/>
        <w:tabs>
          <w:tab w:leader="none" w:pos="8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Subject to Board of Directors or Compensation Committee approval during each year of service, Board Director shall receive an annual cash retainer of $70,000, with additional annual retainers of $30,000 for service as a Committee Chair and $20,000 for service as a Committee Member. The Board Director shall serve as Chair of Compensation Committee and as Member of Nominating &amp; Governance Committee and shall receive a total annual retainer of $120,000, prorated based on the Board Director’s period of service during the fiscal year and subject to adjustment from time to time by the Compensation Committee. In addition, Board Director will be granted non-qualified stock options under the Company’s 2025 Equity Incentive Plan (the “Plan”) to purchase 79,115 shares of the Company’s common stock, representing a prorated portion of the annual grant for the year 2025. During Board Director’s service as a Board Member in years following 2025, subject to Board of Directors or Compensation Committee approval during each year of service, the Board Director will be granted 40,000 options annually, with additional 16,000 for service as a Committee Chair and 11,000 for service as a Committee Member on or about the date of the Company’s annual stockholders meeting. All granted options will be exercisable at a price equal to the closing price of the Company’s common stock, as reported by NASDAQ, on the date of grant, and vest in 12 months following the date of grant, subject to continued service as a Board Member (the “Options”). The Options shall expire ten years from the date of grant, unless terminated earlier in accordance with the Plan or the Board Director’s stock option agreement. In accordance with the Plan, the Options will remain exercisable for 90 days after the date of the Board Director’s termination without cause or resignation. The Board Director’s compensation for service as a Committee Chair, Committee Member, or Board Director (collectively, “Board Service”), including but not limited to time spent preparing for or attending Board or Committee meetings, shall be limited to the annual retainer payments and equity grants set forth in the prior sentences of Paragraph 5. Notwithstanding the foregoing, nothing herein shall limit the Board of Directors or Compensation Committee from approving additional compensation for Board Director if the Board of Directors or Compensation Committee determines that such additional compensation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310515</wp:posOffset>
            </wp:positionV>
            <wp:extent cx="715073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ind w:left="286" w:right="100" w:hanging="286"/>
        <w:spacing w:after="0" w:line="251"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Expense</w:t>
      </w:r>
      <w:r>
        <w:rPr>
          <w:rFonts w:ascii="Times New Roman" w:cs="Times New Roman" w:eastAsia="Times New Roman" w:hAnsi="Times New Roman"/>
          <w:sz w:val="16"/>
          <w:szCs w:val="16"/>
          <w:color w:val="auto"/>
        </w:rPr>
        <w:t>. The Board Director shall be reimbursed for all ordinary and necessary business expenses incurred by the Board Director in connection with his agreement upon timely submission to the Company of receipts and other documentation as required by the Internal Revenue Code of 1986, as amended, and in conformance with the Company’s normal expense reimbursement policies and procedures. Board Director shall be entitled to reimbursement at first class commercial airline rate for transcontinental travel.</w:t>
      </w:r>
    </w:p>
    <w:p>
      <w:pPr>
        <w:spacing w:after="0" w:line="163" w:lineRule="exact"/>
        <w:rPr>
          <w:rFonts w:ascii="Times New Roman" w:cs="Times New Roman" w:eastAsia="Times New Roman" w:hAnsi="Times New Roman"/>
          <w:sz w:val="16"/>
          <w:szCs w:val="16"/>
          <w:color w:val="auto"/>
        </w:rPr>
      </w:pPr>
    </w:p>
    <w:p>
      <w:pPr>
        <w:ind w:left="286" w:right="40" w:hanging="286"/>
        <w:spacing w:after="0" w:line="267"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and Insurance</w:t>
      </w:r>
      <w:r>
        <w:rPr>
          <w:rFonts w:ascii="Times New Roman" w:cs="Times New Roman" w:eastAsia="Times New Roman" w:hAnsi="Times New Roman"/>
          <w:sz w:val="16"/>
          <w:szCs w:val="16"/>
          <w:color w:val="auto"/>
        </w:rPr>
        <w:t>. Exhibit A hereto, which is hereby incorporated herein as if set forth herein, sets forth certain agreements of the parties hereto in respect of indemnification and insurance.</w:t>
      </w:r>
    </w:p>
    <w:p>
      <w:pPr>
        <w:spacing w:after="0" w:line="150" w:lineRule="exact"/>
        <w:rPr>
          <w:rFonts w:ascii="Times New Roman" w:cs="Times New Roman" w:eastAsia="Times New Roman" w:hAnsi="Times New Roman"/>
          <w:sz w:val="16"/>
          <w:szCs w:val="16"/>
          <w:color w:val="auto"/>
        </w:rPr>
      </w:pPr>
    </w:p>
    <w:p>
      <w:pPr>
        <w:ind w:left="286" w:right="80" w:hanging="286"/>
        <w:spacing w:after="0" w:line="255"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the Agreement</w:t>
      </w:r>
      <w:r>
        <w:rPr>
          <w:rFonts w:ascii="Times New Roman" w:cs="Times New Roman" w:eastAsia="Times New Roman" w:hAnsi="Times New Roman"/>
          <w:sz w:val="16"/>
          <w:szCs w:val="16"/>
          <w:color w:val="auto"/>
        </w:rPr>
        <w:t>. The Board Director or the Company may terminate this agreement at any time for any reason. The Agreement hereunder shall automatically terminate upon the death of the Board Director. Any purported termination of the Board Director’s agreement by the Company or by the Board Director shall be communicated by written notice of termination to the other party hereto.</w:t>
      </w:r>
    </w:p>
    <w:p>
      <w:pPr>
        <w:spacing w:after="0" w:line="160" w:lineRule="exact"/>
        <w:rPr>
          <w:rFonts w:ascii="Times New Roman" w:cs="Times New Roman" w:eastAsia="Times New Roman" w:hAnsi="Times New Roman"/>
          <w:sz w:val="16"/>
          <w:szCs w:val="16"/>
          <w:color w:val="auto"/>
        </w:rPr>
      </w:pPr>
    </w:p>
    <w:p>
      <w:pPr>
        <w:ind w:left="286" w:right="200" w:hanging="286"/>
        <w:spacing w:after="0" w:line="248"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Compliance</w:t>
      </w:r>
      <w:r>
        <w:rPr>
          <w:rFonts w:ascii="Times New Roman" w:cs="Times New Roman" w:eastAsia="Times New Roman" w:hAnsi="Times New Roman"/>
          <w:sz w:val="16"/>
          <w:szCs w:val="16"/>
          <w:color w:val="auto"/>
        </w:rPr>
        <w:t>. The Board Director acknowledges receipt of, and has reviewed, the Company’s Insider Trading Policy, and covenants to comply fully with the terms thereof. The Board Director shall not, directly or indirectly, purchase, sell, or otherwise trade in any securities of the Company while in possession of material nonpublic information, during any trading blackout period, or in contravention of any pre-clearance or other procedures established under such Policy. Any trades executed pursuant to a Rule 10b5-1 trading plan shall be in strict accordance with the requirements of the Policy. The Board Director shall consult with the Company’s Compliance Officer with respect to any questions concerning material nonpublic information, pre-clearance, or the permissibility of any proposed transaction, and shall promptly report any known or suspected violations of the Policy or applicable securities laws.</w:t>
      </w:r>
    </w:p>
    <w:p>
      <w:pPr>
        <w:spacing w:after="0" w:line="166"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 and Warranties</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right="20" w:hanging="286"/>
        <w:spacing w:after="0" w:line="267" w:lineRule="auto"/>
        <w:tabs>
          <w:tab w:leader="none" w:pos="56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this Agreement has been authorized by the Company and is a valid and binding agreement of the Company enforceable against it in accordance with its terms.</w:t>
      </w:r>
    </w:p>
    <w:p>
      <w:pPr>
        <w:spacing w:after="0" w:line="150" w:lineRule="exact"/>
        <w:rPr>
          <w:rFonts w:ascii="Times New Roman" w:cs="Times New Roman" w:eastAsia="Times New Roman" w:hAnsi="Times New Roman"/>
          <w:sz w:val="16"/>
          <w:szCs w:val="16"/>
          <w:color w:val="auto"/>
        </w:rPr>
      </w:pPr>
    </w:p>
    <w:p>
      <w:pPr>
        <w:ind w:left="566" w:right="200" w:hanging="286"/>
        <w:spacing w:after="0" w:line="267" w:lineRule="auto"/>
        <w:tabs>
          <w:tab w:leader="none" w:pos="56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Director represents and warrants that he is not a party to any agreement or instrument which would prevent him from entering into or performing his duties under this Agreement.</w:t>
      </w:r>
    </w:p>
    <w:p>
      <w:pPr>
        <w:spacing w:after="0" w:line="150" w:lineRule="exact"/>
        <w:rPr>
          <w:rFonts w:ascii="Times New Roman" w:cs="Times New Roman" w:eastAsia="Times New Roman" w:hAnsi="Times New Roman"/>
          <w:sz w:val="16"/>
          <w:szCs w:val="16"/>
          <w:color w:val="auto"/>
        </w:rPr>
      </w:pPr>
    </w:p>
    <w:p>
      <w:pPr>
        <w:ind w:left="286" w:right="40" w:hanging="286"/>
        <w:spacing w:after="0" w:line="251"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The Board Director agrees to be subject to the Company’s reasonable policies concerning Confidentiality and Non-Disclosure as in effect from time to time. The Company agrees that nothing herein or therein shall prevent the Board Director from rendering services in any capacity to any other person or business from time to time, subject to the compliance with any confidentiality and non-disclosure obligations, to the Board Director’s obligations as a fiduciary of the Company and to applicable law.</w:t>
      </w:r>
    </w:p>
    <w:p>
      <w:pPr>
        <w:spacing w:after="0" w:line="163" w:lineRule="exact"/>
        <w:rPr>
          <w:rFonts w:ascii="Times New Roman" w:cs="Times New Roman" w:eastAsia="Times New Roman" w:hAnsi="Times New Roman"/>
          <w:sz w:val="16"/>
          <w:szCs w:val="16"/>
          <w:color w:val="auto"/>
        </w:rPr>
      </w:pPr>
    </w:p>
    <w:p>
      <w:pPr>
        <w:ind w:left="286" w:hanging="286"/>
        <w:spacing w:after="0" w:line="249" w:lineRule="auto"/>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Fiduciary Duties.</w:t>
      </w:r>
      <w:r>
        <w:rPr>
          <w:rFonts w:ascii="Times New Roman" w:cs="Times New Roman" w:eastAsia="Times New Roman" w:hAnsi="Times New Roman"/>
          <w:sz w:val="16"/>
          <w:szCs w:val="16"/>
          <w:color w:val="auto"/>
        </w:rPr>
        <w:t xml:space="preserve"> The Board Director acknowledges and agrees that, in serving as a Board Member, the Board Director owes fiduciary duties of loyalty and care to the Company and its stockholders under applicable law. The Board Director shall discharge such duties in good faith, with the care that an ordinarily prudent person in a like position would exercise under similar circumstances, and in a manner that the Board Director reasonably believes to be in the best interests of the Company and its stockholders. The Board Director shall avoid self-dealing, conflicts of interest, or other actions that would violate such fiduciary duties and shall promptly disclose to the Board any actual or potential conflicts of interest of which the Board Director becomes aware.</w:t>
      </w:r>
    </w:p>
    <w:p>
      <w:pPr>
        <w:spacing w:after="0" w:line="16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Binding Agreement</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assignable by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338455</wp:posOffset>
            </wp:positionV>
            <wp:extent cx="715073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520" w:right="319" w:bottom="1440" w:gutter="0" w:footer="0" w:header="0"/>
        </w:sectPr>
      </w:pPr>
    </w:p>
    <w:bookmarkStart w:id="102" w:name="page103"/>
    <w:bookmarkEnd w:id="102"/>
    <w:p>
      <w:pPr>
        <w:ind w:left="566" w:hanging="286"/>
        <w:spacing w:after="0" w:line="293" w:lineRule="auto"/>
        <w:tabs>
          <w:tab w:leader="none" w:pos="566"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a personal contract and the rights and interests of the Board Director hereunder may not be sold, transferred, assigned, pledged, encumbered, or hypothecated by him, except as otherwise expressly permitted by the provisions of this Agreement. This Agreement shall inure to the benefit of and be enforceable by the Board Director and his personal or legal representatives, executors, administrators, successors, heirs, distributes, devisees and legatees. If the Board Director should die while any amount would still be payable to him hereunder had the Board Director continued to live, all such amounts, unless otherwise provided herein, shall be paid in accordance with the terms of this Agreement to his devisee, legatee or other designee or, if there is no such designee, to his estate.</w:t>
      </w:r>
    </w:p>
    <w:p>
      <w:pPr>
        <w:spacing w:after="0" w:line="137" w:lineRule="exact"/>
        <w:rPr>
          <w:rFonts w:ascii="Times New Roman" w:cs="Times New Roman" w:eastAsia="Times New Roman" w:hAnsi="Times New Roman"/>
          <w:sz w:val="14"/>
          <w:szCs w:val="14"/>
          <w:color w:val="auto"/>
        </w:rPr>
      </w:pPr>
    </w:p>
    <w:p>
      <w:pPr>
        <w:jc w:val="both"/>
        <w:ind w:left="566" w:right="40" w:hanging="286"/>
        <w:spacing w:after="0" w:line="309" w:lineRule="auto"/>
        <w:tabs>
          <w:tab w:leader="none" w:pos="566"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hereunder may not be assigned by the Company without the prior written consent of the Board Director. This Agreement shall be binding upon and be enforceable against the Company’s successors (including any direct or indirect successor by purchase, merger, consolidation, or otherwise to all or substantially all of the business and/or assets of the Company) and assigns and against the Board Director’s personal and legal representatives.</w:t>
      </w:r>
    </w:p>
    <w:p>
      <w:pPr>
        <w:spacing w:after="0" w:line="125" w:lineRule="exact"/>
        <w:rPr>
          <w:rFonts w:ascii="Times New Roman" w:cs="Times New Roman" w:eastAsia="Times New Roman" w:hAnsi="Times New Roman"/>
          <w:sz w:val="14"/>
          <w:szCs w:val="14"/>
          <w:color w:val="auto"/>
        </w:rPr>
      </w:pPr>
    </w:p>
    <w:p>
      <w:pPr>
        <w:ind w:left="286" w:right="20" w:hanging="286"/>
        <w:spacing w:after="0" w:line="251" w:lineRule="auto"/>
        <w:tabs>
          <w:tab w:leader="none" w:pos="28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contains all the understandings between the parties hereto pertaining to the matters referred to herein, and on the Effective Date shall supersede all undertakings and agreements, whether oral or in writing, previously entered into by them with respect hereto. The Board Director represents that, in executing this Agreement, he does not rely and has not relied upon any representation or statement not set forth herein made by the Company with regard to the subject matter, bases or effect of this Agreement or otherwise.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1" w:lineRule="auto"/>
        <w:tabs>
          <w:tab w:leader="none" w:pos="28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or Modification; Waiver</w:t>
      </w:r>
      <w:r>
        <w:rPr>
          <w:rFonts w:ascii="Times New Roman" w:cs="Times New Roman" w:eastAsia="Times New Roman" w:hAnsi="Times New Roman"/>
          <w:sz w:val="16"/>
          <w:szCs w:val="16"/>
          <w:color w:val="auto"/>
        </w:rPr>
        <w:t>. No provision of this Agreement may be amended or waived unless such amendment or waiver is agreed to in writing, signed by the Board and by a duly authorized officer of the Company.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63" w:lineRule="exact"/>
        <w:rPr>
          <w:rFonts w:ascii="Times New Roman" w:cs="Times New Roman" w:eastAsia="Times New Roman" w:hAnsi="Times New Roman"/>
          <w:sz w:val="16"/>
          <w:szCs w:val="16"/>
          <w:color w:val="auto"/>
        </w:rPr>
      </w:pPr>
    </w:p>
    <w:p>
      <w:pPr>
        <w:ind w:left="286" w:right="60" w:hanging="286"/>
        <w:spacing w:after="0" w:line="255" w:lineRule="auto"/>
        <w:tabs>
          <w:tab w:leader="none" w:pos="28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hereunder shall be in writing and shall be deemed given when delivered personally, sent by courier or telecopy (including e-mail transmission) or registered or certified mail, postage prepaid, return receipt requested, addressed to the party concerned at the address indicated below or to such other address as such party may subsequently give notice of hereunder in writing:</w:t>
      </w:r>
    </w:p>
    <w:p>
      <w:pPr>
        <w:spacing w:after="0" w:line="160" w:lineRule="exact"/>
        <w:rPr>
          <w:sz w:val="20"/>
          <w:szCs w:val="20"/>
          <w:color w:val="auto"/>
        </w:rPr>
      </w:pPr>
    </w:p>
    <w:tbl>
      <w:tblPr>
        <w:tblLayout w:type="fixed"/>
        <w:tblInd w:w="2266" w:type="dxa"/>
        <w:tblCellMar>
          <w:top w:w="0" w:type="dxa"/>
          <w:left w:w="0" w:type="dxa"/>
          <w:bottom w:w="0" w:type="dxa"/>
          <w:right w:w="0" w:type="dxa"/>
        </w:tblCellMar>
      </w:tblPr>
      <w:tr>
        <w:trPr>
          <w:trHeight w:val="18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Board</w:t>
            </w:r>
          </w:p>
        </w:tc>
        <w:tc>
          <w:tcPr>
            <w:tcW w:w="2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Thomas Kündig</w:t>
            </w:r>
          </w:p>
        </w:tc>
        <w:tc>
          <w:tcPr>
            <w:tcW w:w="0" w:type="dxa"/>
            <w:vAlign w:val="bottom"/>
          </w:tcPr>
          <w:p>
            <w:pPr>
              <w:spacing w:after="0"/>
              <w:rPr>
                <w:sz w:val="1"/>
                <w:szCs w:val="1"/>
                <w:color w:val="auto"/>
              </w:rPr>
            </w:pPr>
          </w:p>
        </w:tc>
      </w:tr>
      <w:tr>
        <w:trPr>
          <w:trHeight w:val="109"/>
        </w:trPr>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 at:</w:t>
            </w: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tcPr>
          <w:p>
            <w:pPr>
              <w:spacing w:after="0"/>
              <w:rPr>
                <w:sz w:val="8"/>
                <w:szCs w:val="8"/>
                <w:color w:val="auto"/>
              </w:rPr>
            </w:pPr>
          </w:p>
        </w:tc>
        <w:tc>
          <w:tcPr>
            <w:tcW w:w="2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w w:val="96"/>
              </w:rPr>
              <w:t>Alpenstrasse 23, 8803 Rüschlikon,</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Kanton of Zürich,</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358"/>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To the Company at:</w:t>
            </w: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Attention: Sushma Shivaswamy,</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Interim CEO</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XBiotech, Inc.</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5217 Winnebago Ln</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Austin, TX 78744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 w:right="160"/>
        <w:spacing w:after="0" w:line="267" w:lineRule="auto"/>
        <w:rPr>
          <w:sz w:val="20"/>
          <w:szCs w:val="20"/>
          <w:color w:val="auto"/>
        </w:rPr>
      </w:pPr>
      <w:r>
        <w:rPr>
          <w:rFonts w:ascii="Times New Roman" w:cs="Times New Roman" w:eastAsia="Times New Roman" w:hAnsi="Times New Roman"/>
          <w:sz w:val="16"/>
          <w:szCs w:val="16"/>
          <w:color w:val="auto"/>
        </w:rPr>
        <w:t>Any Notice delivered personally or by courier under this Section 17 shall be deemed given on the date delivered and any notice sent by telecopy or registered or certified mail, postage paid, return receipt requested, shall be deemed given on the date telecopied or mailed.</w:t>
      </w:r>
    </w:p>
    <w:p>
      <w:pPr>
        <w:spacing w:after="0" w:line="174" w:lineRule="exact"/>
        <w:rPr>
          <w:sz w:val="20"/>
          <w:szCs w:val="20"/>
          <w:color w:val="auto"/>
        </w:rPr>
      </w:pPr>
    </w:p>
    <w:p>
      <w:pPr>
        <w:ind w:left="286" w:hanging="286"/>
        <w:spacing w:after="0" w:line="251" w:lineRule="auto"/>
        <w:tabs>
          <w:tab w:leader="none" w:pos="28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63" w:lineRule="exact"/>
        <w:rPr>
          <w:rFonts w:ascii="Times New Roman" w:cs="Times New Roman" w:eastAsia="Times New Roman" w:hAnsi="Times New Roman"/>
          <w:sz w:val="16"/>
          <w:szCs w:val="16"/>
          <w:color w:val="auto"/>
        </w:rPr>
      </w:pPr>
    </w:p>
    <w:p>
      <w:pPr>
        <w:ind w:left="286" w:right="300" w:hanging="286"/>
        <w:spacing w:after="0" w:line="267" w:lineRule="auto"/>
        <w:tabs>
          <w:tab w:leader="none" w:pos="28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Survivorship</w:t>
      </w:r>
      <w:r>
        <w:rPr>
          <w:rFonts w:ascii="Times New Roman" w:cs="Times New Roman" w:eastAsia="Times New Roman" w:hAnsi="Times New Roman"/>
          <w:sz w:val="16"/>
          <w:szCs w:val="16"/>
          <w:color w:val="auto"/>
        </w:rPr>
        <w:t>. The respective rights and obligations of the parties hereunder shall survive any termination of this Agreement to the extent necessary to the intended preservation of such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299085</wp:posOffset>
            </wp:positionV>
            <wp:extent cx="715073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103" w:name="page104"/>
    <w:bookmarkEnd w:id="103"/>
    <w:p>
      <w:pPr>
        <w:ind w:left="286" w:hanging="286"/>
        <w:spacing w:after="0" w:line="251" w:lineRule="auto"/>
        <w:tabs>
          <w:tab w:leader="none" w:pos="28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Jurisdiction</w:t>
      </w:r>
      <w:r>
        <w:rPr>
          <w:rFonts w:ascii="Times New Roman" w:cs="Times New Roman" w:eastAsia="Times New Roman" w:hAnsi="Times New Roman"/>
          <w:sz w:val="16"/>
          <w:szCs w:val="16"/>
          <w:color w:val="auto"/>
        </w:rPr>
        <w:t>. This Agreement will be governed by and construed in accordance with the laws of the State of Delaware, without regard to its conflicts of the laws principles. Each of the parties to this Agreement agrees that the courts of the States of Delaware and New York shall have exclusive jurisdiction to hear and determine any claim, suit, action or proceeding, and to settle any disputes, which may arise out of or are in any way related to or in connection with this Agreement.</w:t>
      </w:r>
    </w:p>
    <w:p>
      <w:pPr>
        <w:spacing w:after="0" w:line="163" w:lineRule="exact"/>
        <w:rPr>
          <w:rFonts w:ascii="Times New Roman" w:cs="Times New Roman" w:eastAsia="Times New Roman" w:hAnsi="Times New Roman"/>
          <w:sz w:val="16"/>
          <w:szCs w:val="16"/>
          <w:color w:val="auto"/>
        </w:rPr>
      </w:pPr>
    </w:p>
    <w:p>
      <w:pPr>
        <w:ind w:left="286" w:right="140" w:hanging="286"/>
        <w:spacing w:after="0" w:line="267" w:lineRule="auto"/>
        <w:tabs>
          <w:tab w:leader="none" w:pos="28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All descriptive headings of the sections and paragraphs in this Agreement are intended solely for convenience, and no provision of this Agreement is to be construed by reference to the heading of any section or paragraph</w:t>
      </w:r>
    </w:p>
    <w:p>
      <w:pPr>
        <w:spacing w:after="0" w:line="150" w:lineRule="exact"/>
        <w:rPr>
          <w:rFonts w:ascii="Times New Roman" w:cs="Times New Roman" w:eastAsia="Times New Roman" w:hAnsi="Times New Roman"/>
          <w:sz w:val="16"/>
          <w:szCs w:val="16"/>
          <w:color w:val="auto"/>
        </w:rPr>
      </w:pPr>
    </w:p>
    <w:p>
      <w:pPr>
        <w:ind w:left="286" w:hanging="286"/>
        <w:spacing w:after="0" w:line="255" w:lineRule="auto"/>
        <w:tabs>
          <w:tab w:leader="none" w:pos="28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parties agree to cooperate in respect of tax withholding and reporting consequences of the arrangements described herein. The parties acknowledge that there is no U.S. federal tax withholding requirement applicable under current law to the compensation described herein. The Company agrees to facilitate, to the extent reasonably practical, the performance of the Board Director’s services in a manner that minimizes the Board Director’s U.S. tax obligations.</w:t>
      </w:r>
    </w:p>
    <w:p>
      <w:pPr>
        <w:spacing w:after="0" w:line="160" w:lineRule="exact"/>
        <w:rPr>
          <w:rFonts w:ascii="Times New Roman" w:cs="Times New Roman" w:eastAsia="Times New Roman" w:hAnsi="Times New Roman"/>
          <w:sz w:val="16"/>
          <w:szCs w:val="16"/>
          <w:color w:val="auto"/>
        </w:rPr>
      </w:pPr>
    </w:p>
    <w:p>
      <w:pPr>
        <w:ind w:left="286" w:right="200" w:hanging="286"/>
        <w:spacing w:after="0" w:line="340" w:lineRule="auto"/>
        <w:tabs>
          <w:tab w:leader="none" w:pos="28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and delivered, including by facsimile transmission or by electronic transmission in Adobe portable document format (or a "PDF file"), in counterparts, each of which shall be deemed an original, and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2522220</wp:posOffset>
            </wp:positionV>
            <wp:extent cx="715073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5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as of the date first above written.</w:t>
      </w:r>
    </w:p>
    <w:p>
      <w:pPr>
        <w:spacing w:after="0" w:line="18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4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THOMAS KUENDIG</w:t>
      </w:r>
    </w:p>
    <w:p>
      <w:pPr>
        <w:spacing w:after="0" w:line="3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XBIOTECH INC.</w:t>
      </w:r>
    </w:p>
    <w:p>
      <w:pPr>
        <w:spacing w:after="0" w:line="37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By:__________________________</w:t>
      </w:r>
    </w:p>
    <w:p>
      <w:pPr>
        <w:spacing w:after="0" w:line="1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2684780</wp:posOffset>
            </wp:positionV>
            <wp:extent cx="715073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499"/>
          </w:cols>
          <w:pgMar w:left="960" w:top="706"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1" w:lineRule="exact"/>
        <w:rPr>
          <w:sz w:val="20"/>
          <w:szCs w:val="20"/>
          <w:color w:val="auto"/>
        </w:rPr>
      </w:pPr>
    </w:p>
    <w:p>
      <w:pPr>
        <w:ind w:left="500" w:hanging="285"/>
        <w:spacing w:after="0"/>
        <w:tabs>
          <w:tab w:leader="none" w:pos="5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As used in this Exhibit:</w:t>
      </w:r>
    </w:p>
    <w:p>
      <w:pPr>
        <w:spacing w:after="0" w:line="189" w:lineRule="exact"/>
        <w:rPr>
          <w:rFonts w:ascii="Times New Roman" w:cs="Times New Roman" w:eastAsia="Times New Roman" w:hAnsi="Times New Roman"/>
          <w:sz w:val="16"/>
          <w:szCs w:val="16"/>
          <w:color w:val="auto"/>
        </w:rPr>
      </w:pPr>
    </w:p>
    <w:p>
      <w:pPr>
        <w:ind w:right="300" w:firstLine="647"/>
        <w:spacing w:after="0" w:line="340" w:lineRule="auto"/>
        <w:tabs>
          <w:tab w:leader="none" w:pos="917"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xml:space="preserve"> with respect to any request by the Board Director for indemnification or advancement of expenses hereunder shall mean a director of the Company who neither is nor was a party to the Proceeding (as defined below) in respect of which indemnification or advancement is being sought by the Board Director.</w:t>
      </w:r>
    </w:p>
    <w:p>
      <w:pPr>
        <w:spacing w:after="0" w:line="104" w:lineRule="exact"/>
        <w:rPr>
          <w:rFonts w:ascii="Times New Roman" w:cs="Times New Roman" w:eastAsia="Times New Roman" w:hAnsi="Times New Roman"/>
          <w:sz w:val="14"/>
          <w:szCs w:val="14"/>
          <w:color w:val="auto"/>
        </w:rPr>
      </w:pPr>
    </w:p>
    <w:p>
      <w:pPr>
        <w:ind w:right="200" w:firstLine="647"/>
        <w:spacing w:after="0" w:line="249" w:lineRule="auto"/>
        <w:tabs>
          <w:tab w:leader="none" w:pos="923"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shall mean any expense, liability or loss, including, without limitation, damages, judgments, fines, penalties, settlements (if, and only if, such settlement is approved in advance by the Company, which approval shall not be unreasonably withheld) and costs, attorneys’ fees and disbursements and costs of attachment or similar bond, investigations, liabilities, losses, taxes, any expense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 under this Exhibit.</w:t>
      </w:r>
    </w:p>
    <w:p>
      <w:pPr>
        <w:spacing w:after="0" w:line="165" w:lineRule="exact"/>
        <w:rPr>
          <w:rFonts w:ascii="Times New Roman" w:cs="Times New Roman" w:eastAsia="Times New Roman" w:hAnsi="Times New Roman"/>
          <w:sz w:val="16"/>
          <w:szCs w:val="16"/>
          <w:color w:val="auto"/>
        </w:rPr>
      </w:pPr>
    </w:p>
    <w:p>
      <w:pPr>
        <w:ind w:right="20" w:firstLine="647"/>
        <w:spacing w:after="0" w:line="290" w:lineRule="auto"/>
        <w:tabs>
          <w:tab w:leader="none" w:pos="914"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Independent Legal Counsel”</w:t>
      </w:r>
      <w:r>
        <w:rPr>
          <w:rFonts w:ascii="Times New Roman" w:cs="Times New Roman" w:eastAsia="Times New Roman" w:hAnsi="Times New Roman"/>
          <w:sz w:val="14"/>
          <w:szCs w:val="14"/>
          <w:color w:val="auto"/>
        </w:rPr>
        <w:t xml:space="preserve"> shall mean any firm of attorneys that is reasonably selected by the Board, so long as such firm is not presently representing and has not in the preceding five (5) years represented the Company, the Company’s subsidiaries or affiliates, the Board Director, any entity controlled by the Board Director, or any party adverse to the Company in any matter material to any such party (other than with respect to matters concerning the Board Director under this Exhibit, or of other Board Directors under similar indemnification Exhibits). Notwithstanding the foregoing, the term “Independent Legal Counsel” shall not include any person who, under applicable standards of professional conduct then prevailing, would have a conflict of interest in representing either the Company or the Board Director in an action to determine the Board Director’s right to indemnification or advancement of expenses under this Exhibit, the Company’s Articles of Association (the “</w:t>
      </w:r>
      <w:r>
        <w:rPr>
          <w:rFonts w:ascii="Times New Roman" w:cs="Times New Roman" w:eastAsia="Times New Roman" w:hAnsi="Times New Roman"/>
          <w:sz w:val="14"/>
          <w:szCs w:val="14"/>
          <w:u w:val="single" w:color="auto"/>
          <w:color w:val="auto"/>
        </w:rPr>
        <w:t>Articles”</w:t>
      </w:r>
      <w:r>
        <w:rPr>
          <w:rFonts w:ascii="Times New Roman" w:cs="Times New Roman" w:eastAsia="Times New Roman" w:hAnsi="Times New Roman"/>
          <w:sz w:val="14"/>
          <w:szCs w:val="14"/>
          <w:color w:val="auto"/>
        </w:rPr>
        <w:t>), applicable law or otherwise.</w:t>
      </w:r>
    </w:p>
    <w:p>
      <w:pPr>
        <w:spacing w:after="0" w:line="139" w:lineRule="exact"/>
        <w:rPr>
          <w:rFonts w:ascii="Times New Roman" w:cs="Times New Roman" w:eastAsia="Times New Roman" w:hAnsi="Times New Roman"/>
          <w:sz w:val="14"/>
          <w:szCs w:val="14"/>
          <w:color w:val="auto"/>
        </w:rPr>
      </w:pPr>
    </w:p>
    <w:p>
      <w:pPr>
        <w:ind w:right="40" w:firstLine="647"/>
        <w:spacing w:after="0" w:line="246" w:lineRule="auto"/>
        <w:tabs>
          <w:tab w:leader="none" w:pos="923"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shall mean any threatened, pending or completed action, suit, arbitration, alternate dispute resolution mechanism, investigation, inquiry, hearing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in which the Board Director was, is or will be involved as a party or otherwise, by reason of (i) the fact that the Board Director is or was a director (or a director appointee) of the Company, or is or was serving at the request of the Company as an agent of another enterprise, (ii) any actual or alleged act or omission or neglect or breach of duty, including, without limitation, any actual or alleged error or misstatement or misleading statement, which the Board Director commits or suffers while acting in any such capacity, or (iii) the Board Director attempting to establish or establishing a right to indemnification or advancement of expenses pursuant to this Exhibit, the Articles, applicable law or otherwise, in each case whether or not the Board Director is acting or serving in any such capacity at the time any liability or expense is incurred for which indemnification can be provided under this Exhibit.</w:t>
      </w:r>
    </w:p>
    <w:p>
      <w:pPr>
        <w:spacing w:after="0" w:line="169" w:lineRule="exact"/>
        <w:rPr>
          <w:rFonts w:ascii="Times New Roman" w:cs="Times New Roman" w:eastAsia="Times New Roman" w:hAnsi="Times New Roman"/>
          <w:sz w:val="16"/>
          <w:szCs w:val="16"/>
          <w:color w:val="auto"/>
        </w:rPr>
      </w:pPr>
    </w:p>
    <w:p>
      <w:pPr>
        <w:ind w:firstLine="647"/>
        <w:spacing w:after="0" w:line="247" w:lineRule="auto"/>
        <w:tabs>
          <w:tab w:leader="none" w:pos="914"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phrase “</w:t>
      </w:r>
      <w:r>
        <w:rPr>
          <w:rFonts w:ascii="Times New Roman" w:cs="Times New Roman" w:eastAsia="Times New Roman" w:hAnsi="Times New Roman"/>
          <w:sz w:val="16"/>
          <w:szCs w:val="16"/>
          <w:u w:val="single" w:color="auto"/>
          <w:color w:val="auto"/>
        </w:rPr>
        <w:t>serving at the request of the Company as an agent of another enterprise”</w:t>
      </w:r>
      <w:r>
        <w:rPr>
          <w:rFonts w:ascii="Times New Roman" w:cs="Times New Roman" w:eastAsia="Times New Roman" w:hAnsi="Times New Roman"/>
          <w:sz w:val="16"/>
          <w:szCs w:val="16"/>
          <w:color w:val="auto"/>
        </w:rPr>
        <w:t xml:space="preserve">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 or an executive officer of the Company which imposes duties on, or involves services by, such director or executive officer with respect to the Company or any of the Company’s subsidiaries, affiliates, employee benefit or welfare plans, such plan’s participants or beneficiaries or any other enterprise, foreign or domestic. In the event that the Board Director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Board Director is so acting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5073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106" w:name="page107"/>
    <w:bookmarkEnd w:id="106"/>
    <w:p>
      <w:pPr>
        <w:ind w:left="-367" w:right="300" w:firstLine="367"/>
        <w:spacing w:after="0" w:line="267" w:lineRule="auto"/>
        <w:tabs>
          <w:tab w:leader="none" w:pos="27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Subject to Section 6 below, the Company hereby agrees to hold harmless and indemnify the Board Director to the fullest extent permitted by law. In furtherance of the foregoing indemnification and without limiting the generality thereof:</w:t>
      </w:r>
    </w:p>
    <w:p>
      <w:pPr>
        <w:spacing w:after="0" w:line="150" w:lineRule="exact"/>
        <w:rPr>
          <w:rFonts w:ascii="Times New Roman" w:cs="Times New Roman" w:eastAsia="Times New Roman" w:hAnsi="Times New Roman"/>
          <w:sz w:val="16"/>
          <w:szCs w:val="16"/>
          <w:color w:val="auto"/>
        </w:rPr>
      </w:pPr>
    </w:p>
    <w:p>
      <w:pPr>
        <w:jc w:val="both"/>
        <w:ind w:left="-367" w:right="160" w:firstLine="647"/>
        <w:spacing w:after="0" w:line="255" w:lineRule="auto"/>
        <w:tabs>
          <w:tab w:leader="none" w:pos="55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The Company shall indemnify the Board Director if the Board Director is a party to or threatened to be made a party to or is otherwise involved in any Proceeding against all Expenses which are actually and reasonably incurred by the Board Director in connection with such a Proceeding, if the Board Director acted in good faith and in a manner the Board Director reasonably believed to be in, or not opposed to, the best interests of the Company.</w:t>
      </w:r>
    </w:p>
    <w:p>
      <w:pPr>
        <w:spacing w:after="0" w:line="160" w:lineRule="exact"/>
        <w:rPr>
          <w:rFonts w:ascii="Times New Roman" w:cs="Times New Roman" w:eastAsia="Times New Roman" w:hAnsi="Times New Roman"/>
          <w:sz w:val="16"/>
          <w:szCs w:val="16"/>
          <w:color w:val="auto"/>
        </w:rPr>
      </w:pPr>
    </w:p>
    <w:p>
      <w:pPr>
        <w:ind w:left="-367" w:right="300" w:firstLine="647"/>
        <w:spacing w:after="0" w:line="255" w:lineRule="auto"/>
        <w:tabs>
          <w:tab w:leader="none" w:pos="55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for Expenses of Witness.</w:t>
      </w:r>
      <w:r>
        <w:rPr>
          <w:rFonts w:ascii="Times New Roman" w:cs="Times New Roman" w:eastAsia="Times New Roman" w:hAnsi="Times New Roman"/>
          <w:sz w:val="16"/>
          <w:szCs w:val="16"/>
          <w:color w:val="auto"/>
        </w:rPr>
        <w:t xml:space="preserve"> Notwithstanding any other provision of this Exhibit, to the extent that the Board Director has prepared to serve or has served as a witness or is made to respond to discovery requests in any Proceeding to which the Board Director is not a party, the Board Director shall be indemnified against all Expenses actually and reasonably incurred by the Board Director in connection therewith.</w:t>
      </w:r>
    </w:p>
    <w:p>
      <w:pPr>
        <w:spacing w:after="0" w:line="160" w:lineRule="exact"/>
        <w:rPr>
          <w:rFonts w:ascii="Times New Roman" w:cs="Times New Roman" w:eastAsia="Times New Roman" w:hAnsi="Times New Roman"/>
          <w:sz w:val="16"/>
          <w:szCs w:val="16"/>
          <w:color w:val="auto"/>
        </w:rPr>
      </w:pPr>
    </w:p>
    <w:p>
      <w:pPr>
        <w:jc w:val="both"/>
        <w:ind w:left="-367" w:right="400" w:firstLine="647"/>
        <w:spacing w:after="0" w:line="255" w:lineRule="auto"/>
        <w:tabs>
          <w:tab w:leader="none" w:pos="55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Partial Indemnification.</w:t>
      </w:r>
      <w:r>
        <w:rPr>
          <w:rFonts w:ascii="Times New Roman" w:cs="Times New Roman" w:eastAsia="Times New Roman" w:hAnsi="Times New Roman"/>
          <w:sz w:val="16"/>
          <w:szCs w:val="16"/>
          <w:color w:val="auto"/>
        </w:rPr>
        <w:t xml:space="preserve"> If Board Director is entitled under any provision of this Exhibit to indemnification by the Company for some or a portion of Expenses incurred in connection with any Proceedings, but not, however, for the total amount thereof, the Company shall nevertheless indemnify Board Director for the portion of such Expenses to which Board Director is entitled.</w:t>
      </w:r>
    </w:p>
    <w:p>
      <w:pPr>
        <w:spacing w:after="0" w:line="160" w:lineRule="exact"/>
        <w:rPr>
          <w:rFonts w:ascii="Times New Roman" w:cs="Times New Roman" w:eastAsia="Times New Roman" w:hAnsi="Times New Roman"/>
          <w:sz w:val="16"/>
          <w:szCs w:val="16"/>
          <w:color w:val="auto"/>
        </w:rPr>
      </w:pPr>
    </w:p>
    <w:p>
      <w:pPr>
        <w:ind w:left="-367" w:firstLine="367"/>
        <w:spacing w:after="0" w:line="247" w:lineRule="auto"/>
        <w:tabs>
          <w:tab w:leader="none" w:pos="27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the indemnification provided in Section 2 above is unavailable to Board Director for any reason (other than those set forth in Section 6 below) in connection with a Proceeding in which the Company is jointly liable with Board Director (or would be if joined in such Proceeding), the Company, in lieu of indemnifying Board Director thereunder, shall contribute to the amount of Expenses which are actually and reasonably incurred and paid or payable by the Board Director in such proportion as is deemed fair and reasonable by the person or persons presiding over the Proceeding in light of all of the circumstances of such Proceeding in order to reflect (i) the relative benefits received by the Company and the Board Director and/or (ii) the relative fault of the Company and such Board Director in connection with the transaction or events from which such Proceeding arose. The relative fault of the Company and the Board Director shall be determined by reference to, among other things, the parties’ relative intent, knowledge, access to information and opportunity to correct or prevent the circumstances resulting in such Expenses.</w:t>
      </w:r>
    </w:p>
    <w:p>
      <w:pPr>
        <w:spacing w:after="0" w:line="168" w:lineRule="exact"/>
        <w:rPr>
          <w:rFonts w:ascii="Times New Roman" w:cs="Times New Roman" w:eastAsia="Times New Roman" w:hAnsi="Times New Roman"/>
          <w:sz w:val="16"/>
          <w:szCs w:val="16"/>
          <w:color w:val="auto"/>
        </w:rPr>
      </w:pPr>
    </w:p>
    <w:p>
      <w:pPr>
        <w:ind w:left="-367" w:right="40" w:firstLine="367"/>
        <w:spacing w:after="0" w:line="249" w:lineRule="auto"/>
        <w:tabs>
          <w:tab w:leader="none" w:pos="27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Advancement of Expenses.</w:t>
      </w:r>
      <w:r>
        <w:rPr>
          <w:rFonts w:ascii="Times New Roman" w:cs="Times New Roman" w:eastAsia="Times New Roman" w:hAnsi="Times New Roman"/>
          <w:sz w:val="16"/>
          <w:szCs w:val="16"/>
          <w:color w:val="auto"/>
        </w:rPr>
        <w:t xml:space="preserve"> The Expenses incurred by the Board Director in any Proceeding shall be paid promptly by the Company in advance of the final disposition of the Proceeding at the written request of the Board Director to the fullest extent permitted by applicable law; provided, however, that the Board Director shall set forth in such request reasonable evidence that such Expenses have been incurred by the Board Director in connection with such Proceeding and hereby undertakes to repay any advances if it is ultimately determined as provided in subsection 5(b) of this Exhibit that the Board Director is not entitled to indemnification under this Exhibit, the Articles, applicable law or otherwise.</w:t>
      </w:r>
    </w:p>
    <w:p>
      <w:pPr>
        <w:spacing w:after="0" w:line="165"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Procedure; Determination of Right to Indemnification.</w:t>
      </w:r>
    </w:p>
    <w:p>
      <w:pPr>
        <w:spacing w:after="0" w:line="189" w:lineRule="exact"/>
        <w:rPr>
          <w:rFonts w:ascii="Times New Roman" w:cs="Times New Roman" w:eastAsia="Times New Roman" w:hAnsi="Times New Roman"/>
          <w:sz w:val="16"/>
          <w:szCs w:val="16"/>
          <w:color w:val="auto"/>
        </w:rPr>
      </w:pPr>
    </w:p>
    <w:p>
      <w:pPr>
        <w:ind w:left="-367" w:right="240" w:firstLine="647"/>
        <w:spacing w:after="0" w:line="293" w:lineRule="auto"/>
        <w:tabs>
          <w:tab w:leader="none" w:pos="55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the Board Director of notice of the commencement of any Proceeding, the Board Director shall, if a claim for indemnification in respect thereof is to be made against the Company under this Exhibit, notify the Company of the commencement thereof in a written request, including therein or therewith such documentation and information as is reasonably available to Board Director and is reasonably necessary to determine whether and to what extent Board Director is entitled to indemnification. The omission to so notify the Company will not relieve the Company from any liability which the Company may have to the Board Director under this Exhibit unless the Company shall have lost significant substantive or procedural rights with respect to the defense of any Proceeding as a result of such omission to so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290830</wp:posOffset>
            </wp:positionV>
            <wp:extent cx="715073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53"/>
          </w:cols>
          <w:pgMar w:left="687" w:top="520" w:right="359" w:bottom="1440" w:gutter="0" w:footer="0" w:header="0"/>
        </w:sectPr>
      </w:pPr>
    </w:p>
    <w:bookmarkStart w:id="107" w:name="page108"/>
    <w:bookmarkEnd w:id="107"/>
    <w:p>
      <w:pPr>
        <w:ind w:left="-647" w:right="20" w:firstLine="647"/>
        <w:spacing w:after="0" w:line="293" w:lineRule="auto"/>
        <w:tabs>
          <w:tab w:leader="none" w:pos="27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Director shall be conclusively presumed to be entitled to indemnification under this Exhibit unless a determination is made that the Board Director is not entitled to indemnification under this Exhibit, the Articles, applicable law or otherwise by (i) a majority vote of the Board of a quorum consisting of Disinterested Directors or (ii) if a quorum of the Board consisting of Disinterested Directors is not obtainable, by Independent Legal Counsel in a written opinion to the Board, a copy of which shall be delivered to the Board Director. The Board Director agrees that the delivery of such opinion to the Board Director does not constitute a waiver of any privilege or doctrine, including the attorney-client privilege and the work product doctrine, with respect to any other communication between the Independent Legal Counsel and its client or clients.</w:t>
      </w:r>
    </w:p>
    <w:p>
      <w:pPr>
        <w:spacing w:after="0" w:line="137" w:lineRule="exact"/>
        <w:rPr>
          <w:rFonts w:ascii="Times New Roman" w:cs="Times New Roman" w:eastAsia="Times New Roman" w:hAnsi="Times New Roman"/>
          <w:sz w:val="14"/>
          <w:szCs w:val="14"/>
          <w:color w:val="auto"/>
        </w:rPr>
      </w:pPr>
    </w:p>
    <w:p>
      <w:pPr>
        <w:ind w:left="-647" w:firstLine="647"/>
        <w:spacing w:after="0" w:line="245" w:lineRule="auto"/>
        <w:tabs>
          <w:tab w:leader="none" w:pos="27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a determination is made that the Board Director is not entitled to indemnification under this Exhibit or (ii) a claim for indemnification or advancement of Expenses under this Exhibit is not paid by the Company within thirty (30) days after receipt by the Company of written notice thereof, the Board Director is entitled to an adjudication in any court of competent jurisdiction. Such judicial proceeding shall be made de novo. The burden of proving that indemnification or advances are not appropriate shall be on the Company. Neither the failure of the directors of the Company or Independent Legal Counsel to have made a determination prior to the commencement of such action that indemnification or advancement of Expenses is proper in the circumstances because the Board Director has met the applicable standard of conduct, if any, nor an actual determination by the directors of the Company or Independent Legal Counsel that the Board Director has not met the applicable standard of conduct shall be a defense to an action by the Board Director or create a presumption for the purpose of such an action that the Board Director has not met the applicable standard of conduct. The termination of any Proceeding by judgment, order, settlement or conviction, or upon a plea of nolo contendere or its equivalent, shall not, of itself (i) create a presumption that the Board Director did not act in good faith and in a manner which he reasonably believed to be in the best interests of the Company and/or its shareholders, and, with respect to any criminal Proceeding, that the Board Director had reasonable cause to believe that his conduct was unlawful or (ii) otherwise adversely affect the rights of the Board Director to indemnification or advancement of Expenses under this Exhibit, except as may be provided herein.</w:t>
      </w:r>
    </w:p>
    <w:p>
      <w:pPr>
        <w:spacing w:after="0" w:line="174" w:lineRule="exact"/>
        <w:rPr>
          <w:rFonts w:ascii="Times New Roman" w:cs="Times New Roman" w:eastAsia="Times New Roman" w:hAnsi="Times New Roman"/>
          <w:sz w:val="16"/>
          <w:szCs w:val="16"/>
          <w:color w:val="auto"/>
        </w:rPr>
      </w:pPr>
    </w:p>
    <w:p>
      <w:pPr>
        <w:ind w:left="-647" w:right="200" w:firstLine="647"/>
        <w:spacing w:after="0" w:line="340" w:lineRule="auto"/>
        <w:tabs>
          <w:tab w:leader="none" w:pos="279"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of competent jurisdiction shall determine that the Board Director is entitled to any indemnification or advancement of Expenses hereunder, the Company shall pay all Expenses actually and reasonably incurred by the Board Director in connection with such adjudication (including, but not limited to, any appellate proceedings).</w:t>
      </w:r>
    </w:p>
    <w:p>
      <w:pPr>
        <w:spacing w:after="0" w:line="104" w:lineRule="exact"/>
        <w:rPr>
          <w:rFonts w:ascii="Times New Roman" w:cs="Times New Roman" w:eastAsia="Times New Roman" w:hAnsi="Times New Roman"/>
          <w:sz w:val="14"/>
          <w:szCs w:val="14"/>
          <w:color w:val="auto"/>
        </w:rPr>
      </w:pPr>
    </w:p>
    <w:p>
      <w:pPr>
        <w:jc w:val="both"/>
        <w:ind w:left="-647" w:right="20" w:firstLine="647"/>
        <w:spacing w:after="0" w:line="251" w:lineRule="auto"/>
        <w:tabs>
          <w:tab w:leader="none" w:pos="26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Board Director. After notice from the Company to the Board Director of its election to assume the defense of a Proceeding, the Company will not be liable to the Board Director under this Exhibit for any Expenses subsequently incurred by the Board Director in connection with the defense thereof, other than as provided below.</w:t>
      </w:r>
    </w:p>
    <w:p>
      <w:pPr>
        <w:spacing w:after="0" w:line="163" w:lineRule="exact"/>
        <w:rPr>
          <w:rFonts w:ascii="Times New Roman" w:cs="Times New Roman" w:eastAsia="Times New Roman" w:hAnsi="Times New Roman"/>
          <w:sz w:val="16"/>
          <w:szCs w:val="16"/>
          <w:color w:val="auto"/>
        </w:rPr>
      </w:pPr>
    </w:p>
    <w:p>
      <w:pPr>
        <w:ind w:left="-647" w:right="20" w:firstLine="647"/>
        <w:spacing w:after="0" w:line="247" w:lineRule="auto"/>
        <w:tabs>
          <w:tab w:leader="none" w:pos="25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settle any Proceeding in any manner which would impose any penalty or limitation on the Board Director without the Board Director’s written consent. The Board Director shall have the right to employ his own counsel in any Proceeding, but the fees and expenses of such counsel incurred after notice from the Company of its assumption of the defense of the Proceeding shall be at the expense of the Board Director, unless (i) the employment of counsel by the Board Director has been authorized by the Company, (ii) the Board Director shall have reasonably concluded that there may be a conflict of interest between the Company and the Board Director in the conduct of the defense of a Proceeding, or (iii) the Company shall not in fact have employed counsel to assume the defense of a proceeding, in each of which cases the fees and expenses of the Board Director’s counsel shall be advanced by the Company. The Company shall not be entitled to assume the defense of any Proceeding brought by or on behalf of the Company or as to which the Board Director has reasonably concluded that there may be a conflict of interest between the Company and the Board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309880</wp:posOffset>
            </wp:positionV>
            <wp:extent cx="715073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593"/>
          </w:cols>
          <w:pgMar w:left="967" w:top="520" w:right="339" w:bottom="1440" w:gutter="0" w:footer="0" w:header="0"/>
        </w:sectPr>
      </w:pPr>
    </w:p>
    <w:bookmarkStart w:id="108" w:name="page109"/>
    <w:bookmarkEnd w:id="108"/>
    <w:p>
      <w:pPr>
        <w:jc w:val="both"/>
        <w:ind w:left="-367" w:right="340" w:firstLine="647"/>
        <w:spacing w:after="0" w:line="255" w:lineRule="auto"/>
        <w:tabs>
          <w:tab w:leader="none" w:pos="55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Director shall give the Company such information and cooperation as it may reasonably require and as shall be within Board Director’s power. Subject to Section 3, the Company shall not be liable to indemnify the Board Director under this Exhibit with regard to any judicial action if the Company was not given a reasonable and timely opportunity, at its expense, to participate in the defense, conduct and/or settlement of such action.</w:t>
      </w:r>
    </w:p>
    <w:p>
      <w:pPr>
        <w:spacing w:after="0" w:line="160" w:lineRule="exact"/>
        <w:rPr>
          <w:rFonts w:ascii="Times New Roman" w:cs="Times New Roman" w:eastAsia="Times New Roman" w:hAnsi="Times New Roman"/>
          <w:sz w:val="16"/>
          <w:szCs w:val="16"/>
          <w:color w:val="auto"/>
        </w:rPr>
      </w:pPr>
    </w:p>
    <w:p>
      <w:pPr>
        <w:ind w:left="-367" w:right="660" w:firstLine="367"/>
        <w:spacing w:after="0" w:line="267" w:lineRule="auto"/>
        <w:tabs>
          <w:tab w:leader="none" w:pos="27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Indemnification.</w:t>
      </w:r>
      <w:r>
        <w:rPr>
          <w:rFonts w:ascii="Times New Roman" w:cs="Times New Roman" w:eastAsia="Times New Roman" w:hAnsi="Times New Roman"/>
          <w:sz w:val="16"/>
          <w:szCs w:val="16"/>
          <w:color w:val="auto"/>
        </w:rPr>
        <w:t xml:space="preserve"> Notwithstanding any provision in this Exhibit, the Company shall not be obligated under this Exhibit to make any indemnity in connection with any claim made against the Board Director:</w:t>
      </w:r>
    </w:p>
    <w:p>
      <w:pPr>
        <w:spacing w:after="0" w:line="150" w:lineRule="exact"/>
        <w:rPr>
          <w:rFonts w:ascii="Times New Roman" w:cs="Times New Roman" w:eastAsia="Times New Roman" w:hAnsi="Times New Roman"/>
          <w:sz w:val="16"/>
          <w:szCs w:val="16"/>
          <w:color w:val="auto"/>
        </w:rPr>
      </w:pPr>
    </w:p>
    <w:p>
      <w:pPr>
        <w:ind w:left="-367" w:right="100" w:firstLine="647"/>
        <w:spacing w:after="0" w:line="248" w:lineRule="auto"/>
        <w:tabs>
          <w:tab w:leader="none" w:pos="55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Proceeding initiated or brought voluntarily by the Board Director and not by way of defense, unless (i) the Board authorized the Proceeding prior to its initiation or (ii) the Proceeding is to enforce indemnification rights under this Exhibit, the Articles, applicable law or otherwise and either (A) Board Director is successful in such Proceeding in establishing Board Director’s right, in whole or in part, to indemnification or advancement of Expenses hereunder (in which case such indemnification or advancement shall be to the fullest extent permitted by this Exhibit) or (B) the court in such Proceeding shall determine that, despite Board Director’s failure to establish his right to indemnification, Board Director is entitled to indemnity for such expenses (in which case such indemnification or advancement shall be to the extent provided by such court);</w:t>
      </w:r>
    </w:p>
    <w:p>
      <w:pPr>
        <w:spacing w:after="0" w:line="166" w:lineRule="exact"/>
        <w:rPr>
          <w:rFonts w:ascii="Times New Roman" w:cs="Times New Roman" w:eastAsia="Times New Roman" w:hAnsi="Times New Roman"/>
          <w:sz w:val="16"/>
          <w:szCs w:val="16"/>
          <w:color w:val="auto"/>
        </w:rPr>
      </w:pPr>
    </w:p>
    <w:p>
      <w:pPr>
        <w:ind w:left="-367" w:firstLine="647"/>
        <w:spacing w:after="0" w:line="255" w:lineRule="auto"/>
        <w:tabs>
          <w:tab w:leader="none" w:pos="559"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Board Director preparing to serve or serving as a witness in voluntary cooperation with any non-governmental or non-regulatory party or entity who or which has threatened or commenced any action or proceeding against the Company, or any director, officer, employee, trustee, agent, representative, subsidiary, parent corporation or affiliate of the Company, but such indemnification may be provided by the Company if the Board finds it to be appropriate;</w:t>
      </w:r>
    </w:p>
    <w:p>
      <w:pPr>
        <w:spacing w:after="0" w:line="160" w:lineRule="exact"/>
        <w:rPr>
          <w:rFonts w:ascii="Times New Roman" w:cs="Times New Roman" w:eastAsia="Times New Roman" w:hAnsi="Times New Roman"/>
          <w:sz w:val="16"/>
          <w:szCs w:val="16"/>
          <w:color w:val="auto"/>
        </w:rPr>
      </w:pPr>
    </w:p>
    <w:p>
      <w:pPr>
        <w:ind w:left="-367" w:right="60" w:firstLine="647"/>
        <w:spacing w:after="0" w:line="267" w:lineRule="auto"/>
        <w:tabs>
          <w:tab w:leader="none" w:pos="55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which payment has actually been made to the Board Director under a valid and collectible insurance policy, except in respect of any excess beyond the amount of payment under such insurance policy;</w:t>
      </w:r>
    </w:p>
    <w:p>
      <w:pPr>
        <w:spacing w:after="0" w:line="150" w:lineRule="exact"/>
        <w:rPr>
          <w:rFonts w:ascii="Times New Roman" w:cs="Times New Roman" w:eastAsia="Times New Roman" w:hAnsi="Times New Roman"/>
          <w:sz w:val="16"/>
          <w:szCs w:val="16"/>
          <w:color w:val="auto"/>
        </w:rPr>
      </w:pPr>
    </w:p>
    <w:p>
      <w:pPr>
        <w:ind w:left="-367" w:right="40" w:firstLine="647"/>
        <w:spacing w:after="0" w:line="267" w:lineRule="auto"/>
        <w:tabs>
          <w:tab w:leader="none" w:pos="559"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 accounting of profits made from the purchase or sale by the Board Director of securities of the Company pursuant to the provisions of Section 16(b) of the Act or similar provisions of any federal, state or local statute or regulation;</w:t>
      </w:r>
    </w:p>
    <w:p>
      <w:pPr>
        <w:spacing w:after="0" w:line="150" w:lineRule="exact"/>
        <w:rPr>
          <w:rFonts w:ascii="Times New Roman" w:cs="Times New Roman" w:eastAsia="Times New Roman" w:hAnsi="Times New Roman"/>
          <w:sz w:val="16"/>
          <w:szCs w:val="16"/>
          <w:color w:val="auto"/>
        </w:rPr>
      </w:pPr>
    </w:p>
    <w:p>
      <w:pPr>
        <w:ind w:left="553" w:hanging="273"/>
        <w:spacing w:after="0"/>
        <w:tabs>
          <w:tab w:leader="none" w:pos="55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court of competent jurisdiction finally determines that such indemnification is unlawful;</w:t>
      </w:r>
    </w:p>
    <w:p>
      <w:pPr>
        <w:spacing w:after="0" w:line="189" w:lineRule="exact"/>
        <w:rPr>
          <w:rFonts w:ascii="Times New Roman" w:cs="Times New Roman" w:eastAsia="Times New Roman" w:hAnsi="Times New Roman"/>
          <w:sz w:val="16"/>
          <w:szCs w:val="16"/>
          <w:color w:val="auto"/>
        </w:rPr>
      </w:pPr>
    </w:p>
    <w:p>
      <w:pPr>
        <w:ind w:left="-367" w:right="20" w:firstLine="647"/>
        <w:spacing w:after="0" w:line="267" w:lineRule="auto"/>
        <w:tabs>
          <w:tab w:leader="none" w:pos="53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proviso in Section 6(a) hereof, in connection with any dispute or breach arising under any contract or similar obligation between the Company or any of its subsidiaries or affiliates and such Board Director.</w:t>
      </w:r>
    </w:p>
    <w:p>
      <w:pPr>
        <w:spacing w:after="0" w:line="150" w:lineRule="exact"/>
        <w:rPr>
          <w:rFonts w:ascii="Times New Roman" w:cs="Times New Roman" w:eastAsia="Times New Roman" w:hAnsi="Times New Roman"/>
          <w:sz w:val="16"/>
          <w:szCs w:val="16"/>
          <w:color w:val="auto"/>
        </w:rPr>
      </w:pPr>
    </w:p>
    <w:p>
      <w:pPr>
        <w:ind w:left="-367" w:right="160" w:firstLine="367"/>
        <w:spacing w:after="0" w:line="309" w:lineRule="auto"/>
        <w:tabs>
          <w:tab w:leader="none" w:pos="279"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To the extent the Company maintains a Directors &amp; Officers liability insurance policy, the Board Director shall be covered to the fullest extent available for acts performed in the capacity of a director or while serving at the Company’s request for another enterprise. Such insurance shall provide for the advancement of defense costs in accordance with the indemnification provisions herein and shall be complementary to, and shall not limit, the Board Director’s rights to indemnification under this Agreement.</w:t>
      </w:r>
    </w:p>
    <w:p>
      <w:pPr>
        <w:spacing w:after="0" w:line="125" w:lineRule="exact"/>
        <w:rPr>
          <w:rFonts w:ascii="Times New Roman" w:cs="Times New Roman" w:eastAsia="Times New Roman" w:hAnsi="Times New Roman"/>
          <w:sz w:val="14"/>
          <w:szCs w:val="14"/>
          <w:color w:val="auto"/>
        </w:rPr>
      </w:pPr>
    </w:p>
    <w:p>
      <w:pPr>
        <w:ind w:left="-367" w:right="120" w:firstLine="367"/>
        <w:spacing w:after="0" w:line="249" w:lineRule="auto"/>
        <w:tabs>
          <w:tab w:leader="none" w:pos="27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Continuation of Indemnification.</w:t>
      </w:r>
      <w:r>
        <w:rPr>
          <w:rFonts w:ascii="Times New Roman" w:cs="Times New Roman" w:eastAsia="Times New Roman" w:hAnsi="Times New Roman"/>
          <w:sz w:val="16"/>
          <w:szCs w:val="16"/>
          <w:color w:val="auto"/>
        </w:rPr>
        <w:t xml:space="preserve"> All Exhibits and obligations of the Company contained herein shall continue during the period that the Board Director is a director of the Company (or is or was serving at the request of the Company as an agent of another enterprise, foreign or domestic) and shall continue thereafter so long as the Board Director shall be subject to any Proceeding by reason of the fact that the Board Director is or was a director of the Company or is or was serving in any other capacity referred to in this Section 8. This Exhibit shall continue in effect regardless of whether the Board Director continues to serve as a director of the Company or as an agent of another enterprise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308610</wp:posOffset>
            </wp:positionV>
            <wp:extent cx="715073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73"/>
          </w:cols>
          <w:pgMar w:left="687" w:top="520" w:right="339" w:bottom="1440" w:gutter="0" w:footer="0" w:header="0"/>
        </w:sectPr>
      </w:pPr>
    </w:p>
    <w:bookmarkStart w:id="109" w:name="page110"/>
    <w:bookmarkEnd w:id="109"/>
    <w:p>
      <w:pPr>
        <w:jc w:val="both"/>
        <w:ind w:left="-367" w:right="360" w:firstLine="367"/>
        <w:spacing w:after="0" w:line="251" w:lineRule="auto"/>
        <w:tabs>
          <w:tab w:leader="none" w:pos="27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Hereunder Not Exclusive.</w:t>
      </w:r>
      <w:r>
        <w:rPr>
          <w:rFonts w:ascii="Times New Roman" w:cs="Times New Roman" w:eastAsia="Times New Roman" w:hAnsi="Times New Roman"/>
          <w:sz w:val="16"/>
          <w:szCs w:val="16"/>
          <w:color w:val="auto"/>
        </w:rPr>
        <w:t xml:space="preserve"> The indemnification provided by this Exhibit shall not be deemed to be exclusive of any other rights to which the Board Director may be entitled under the Articles, Director Appointment Letter, any Exhibit, vote of shareholders or vote of Disinterested Directors, provisions of applicable law, or otherwise, both as to action or omission in the Board Director’s official capacity and as to action or omission in another capacity on behalf of the Company while holding such office.</w:t>
      </w:r>
    </w:p>
    <w:p>
      <w:pPr>
        <w:spacing w:after="0" w:line="163" w:lineRule="exact"/>
        <w:rPr>
          <w:rFonts w:ascii="Times New Roman" w:cs="Times New Roman" w:eastAsia="Times New Roman" w:hAnsi="Times New Roman"/>
          <w:sz w:val="16"/>
          <w:szCs w:val="16"/>
          <w:color w:val="auto"/>
        </w:rPr>
      </w:pPr>
    </w:p>
    <w:p>
      <w:pPr>
        <w:ind w:left="-367" w:firstLine="367"/>
        <w:spacing w:after="0" w:line="255" w:lineRule="auto"/>
        <w:tabs>
          <w:tab w:leader="none" w:pos="27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 To Serve.</w:t>
      </w:r>
      <w:r>
        <w:rPr>
          <w:rFonts w:ascii="Times New Roman" w:cs="Times New Roman" w:eastAsia="Times New Roman" w:hAnsi="Times New Roman"/>
          <w:sz w:val="16"/>
          <w:szCs w:val="16"/>
          <w:color w:val="auto"/>
        </w:rPr>
        <w:t xml:space="preserve"> The Company acknowledges that it has entered into this Exhibit and assumes the obligations imposed on it hereby, in addition to and separate from its obligations to Board Director under the Articles, Director Appointment Letter or otherwise to induce Board Director to serve, or continue to serve, as a director of the Company, and the Company acknowledges that Board Director is relying upon this Exhibit in serving as a director of the Company.</w:t>
      </w:r>
    </w:p>
    <w:p>
      <w:pPr>
        <w:spacing w:after="0" w:line="160" w:lineRule="exact"/>
        <w:rPr>
          <w:rFonts w:ascii="Times New Roman" w:cs="Times New Roman" w:eastAsia="Times New Roman" w:hAnsi="Times New Roman"/>
          <w:sz w:val="16"/>
          <w:szCs w:val="16"/>
          <w:color w:val="auto"/>
        </w:rPr>
      </w:pPr>
    </w:p>
    <w:p>
      <w:pPr>
        <w:ind w:left="-367" w:right="160" w:firstLine="367"/>
        <w:spacing w:after="0" w:line="267" w:lineRule="auto"/>
        <w:tabs>
          <w:tab w:leader="none" w:pos="35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of Exhibit.</w:t>
      </w:r>
      <w:r>
        <w:rPr>
          <w:rFonts w:ascii="Times New Roman" w:cs="Times New Roman" w:eastAsia="Times New Roman" w:hAnsi="Times New Roman"/>
          <w:sz w:val="16"/>
          <w:szCs w:val="16"/>
          <w:color w:val="auto"/>
        </w:rPr>
        <w:t xml:space="preserve"> It is understood that the parties hereto intend this Exhibit to be interpreted and enforced so as to provide indemnification to Board Director to the fullest extent now or hereafter permitted by law.</w:t>
      </w:r>
    </w:p>
    <w:p>
      <w:pPr>
        <w:spacing w:after="0" w:line="150" w:lineRule="exact"/>
        <w:rPr>
          <w:rFonts w:ascii="Times New Roman" w:cs="Times New Roman" w:eastAsia="Times New Roman" w:hAnsi="Times New Roman"/>
          <w:sz w:val="16"/>
          <w:szCs w:val="16"/>
          <w:color w:val="auto"/>
        </w:rPr>
      </w:pPr>
    </w:p>
    <w:p>
      <w:pPr>
        <w:ind w:left="-367" w:right="200" w:firstLine="367"/>
        <w:spacing w:after="0" w:line="251" w:lineRule="auto"/>
        <w:tabs>
          <w:tab w:leader="none" w:pos="35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Subrogation.</w:t>
      </w:r>
      <w:r>
        <w:rPr>
          <w:rFonts w:ascii="Times New Roman" w:cs="Times New Roman" w:eastAsia="Times New Roman" w:hAnsi="Times New Roman"/>
          <w:sz w:val="16"/>
          <w:szCs w:val="16"/>
          <w:color w:val="auto"/>
        </w:rPr>
        <w:t xml:space="preserve"> In the event of payment under this Exhibit, the Company shall be subrogated to the extent of such payment to all of the rights of recovery of the Board Director, who shall execute all documents required and shall do all acts that may be necessary to secure such rights and to enable the Company effectively to bring suit to enforce such rights separate and distinct so that if any section, sentence, term or provision thereof shall be held to be invalid, unlawful or unenforceable for any reason, such invalidity, unlawfulness or unenforceability shall not affect the validity, lawfulness or enforceability of any other section, sentence, term or provision hereof.</w:t>
      </w:r>
    </w:p>
    <w:p>
      <w:pPr>
        <w:spacing w:after="0" w:line="163" w:lineRule="exact"/>
        <w:rPr>
          <w:rFonts w:ascii="Times New Roman" w:cs="Times New Roman" w:eastAsia="Times New Roman" w:hAnsi="Times New Roman"/>
          <w:sz w:val="16"/>
          <w:szCs w:val="16"/>
          <w:color w:val="auto"/>
        </w:rPr>
      </w:pPr>
    </w:p>
    <w:p>
      <w:pPr>
        <w:ind w:left="-367" w:right="40" w:firstLine="367"/>
        <w:spacing w:after="0" w:line="299" w:lineRule="auto"/>
        <w:tabs>
          <w:tab w:leader="none" w:pos="35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Savings Clause.</w:t>
      </w:r>
      <w:r>
        <w:rPr>
          <w:rFonts w:ascii="Times New Roman" w:cs="Times New Roman" w:eastAsia="Times New Roman" w:hAnsi="Times New Roman"/>
          <w:sz w:val="14"/>
          <w:szCs w:val="14"/>
          <w:color w:val="auto"/>
        </w:rPr>
        <w:t xml:space="preserve"> If this Exhibit or any section, sentence, term or provision hereof is invalidated on any ground by any court of competent jurisdiction, the Company shall nevertheless indemnify the Board Director as to any Expenses which are incurred with respect to any Proceeding to the fullest extent permitted by any (a) applicable section, sentence, term or provision of this Exhibit that has not been invalidated or (b) applicable law. To the extent required, any section, sentence, term or provision of this Exhibit may be modified by a court of competent jurisdiction to preserve its validity and to provide the Board Director with the broadest possible indemnification permitted under applicable law.</w:t>
      </w:r>
    </w:p>
    <w:p>
      <w:pPr>
        <w:sectPr>
          <w:pgSz w:w="11900" w:h="16838" w:orient="portrait"/>
          <w:cols w:equalWidth="0" w:num="1">
            <w:col w:w="10873"/>
          </w:cols>
          <w:pgMar w:left="687" w:top="52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6"/>
          <w:szCs w:val="16"/>
          <w:b w:val="1"/>
          <w:bCs w:val="1"/>
          <w:color w:val="auto"/>
        </w:rPr>
        <w:t>Exhibit 10.21</w:t>
      </w:r>
    </w:p>
    <w:p>
      <w:pPr>
        <w:spacing w:after="0" w:line="3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XBIOTECH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72" w:lineRule="exact"/>
        <w:rPr>
          <w:sz w:val="20"/>
          <w:szCs w:val="20"/>
          <w:color w:val="auto"/>
        </w:rPr>
      </w:pPr>
    </w:p>
    <w:p>
      <w:pPr>
        <w:ind w:left="427" w:hanging="427"/>
        <w:spacing w:after="0"/>
        <w:tabs>
          <w:tab w:leader="none" w:pos="427"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PURPOSE</w:t>
      </w:r>
    </w:p>
    <w:p>
      <w:pPr>
        <w:spacing w:after="0" w:line="191" w:lineRule="exact"/>
        <w:rPr>
          <w:sz w:val="20"/>
          <w:szCs w:val="20"/>
          <w:color w:val="auto"/>
        </w:rPr>
      </w:pPr>
    </w:p>
    <w:p>
      <w:pPr>
        <w:ind w:left="427" w:right="20"/>
        <w:spacing w:after="0" w:line="267" w:lineRule="auto"/>
        <w:rPr>
          <w:sz w:val="20"/>
          <w:szCs w:val="20"/>
          <w:color w:val="auto"/>
        </w:rPr>
      </w:pPr>
      <w:r>
        <w:rPr>
          <w:rFonts w:ascii="Times New Roman" w:cs="Times New Roman" w:eastAsia="Times New Roman" w:hAnsi="Times New Roman"/>
          <w:sz w:val="16"/>
          <w:szCs w:val="16"/>
          <w:color w:val="auto"/>
        </w:rPr>
        <w:t>XBiotech Inc. and its subsidiaries (the “Company”) has adopted this Insider Trading Policy (this “Policy”) to help its directors, officers and employees comply with insider trading laws and to prevent even the appearance of improper insider trading.</w:t>
      </w:r>
    </w:p>
    <w:p>
      <w:pPr>
        <w:spacing w:after="0" w:line="149" w:lineRule="exact"/>
        <w:rPr>
          <w:sz w:val="20"/>
          <w:szCs w:val="20"/>
          <w:color w:val="auto"/>
        </w:rPr>
      </w:pPr>
    </w:p>
    <w:p>
      <w:pPr>
        <w:ind w:left="427" w:hanging="427"/>
        <w:spacing w:after="0"/>
        <w:tabs>
          <w:tab w:leader="none" w:pos="427"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SCOPE</w:t>
      </w:r>
    </w:p>
    <w:p>
      <w:pPr>
        <w:spacing w:after="0" w:line="191" w:lineRule="exact"/>
        <w:rPr>
          <w:rFonts w:ascii="Times New Roman" w:cs="Times New Roman" w:eastAsia="Times New Roman" w:hAnsi="Times New Roman"/>
          <w:sz w:val="16"/>
          <w:szCs w:val="16"/>
          <w:b w:val="1"/>
          <w:bCs w:val="1"/>
          <w:color w:val="auto"/>
        </w:rPr>
      </w:pPr>
    </w:p>
    <w:p>
      <w:pPr>
        <w:jc w:val="both"/>
        <w:ind w:left="847" w:hanging="427"/>
        <w:spacing w:after="0" w:line="251" w:lineRule="auto"/>
        <w:tabs>
          <w:tab w:leader="none" w:pos="847" w:val="left"/>
        </w:tabs>
        <w:numPr>
          <w:ilvl w:val="1"/>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Policy applies to all directors, officers and employees of the Company, as well as their respective family members and others in their households (collectively referred to as “Insiders”), and any other individuals that Angela Hu, Director of Finance (the "Compliance Officer") may designate as Insiders because they have access to material nonpublic information concerning the Company. This Policy also applies to any entities that Insiders control, including corporations, trusts or partnerships.</w:t>
      </w:r>
    </w:p>
    <w:p>
      <w:pPr>
        <w:spacing w:after="0" w:line="163" w:lineRule="exact"/>
        <w:rPr>
          <w:rFonts w:ascii="Times New Roman" w:cs="Times New Roman" w:eastAsia="Times New Roman" w:hAnsi="Times New Roman"/>
          <w:sz w:val="16"/>
          <w:szCs w:val="16"/>
          <w:b w:val="1"/>
          <w:bCs w:val="1"/>
          <w:color w:val="auto"/>
        </w:rPr>
      </w:pPr>
    </w:p>
    <w:p>
      <w:pPr>
        <w:jc w:val="both"/>
        <w:ind w:left="847" w:hanging="427"/>
        <w:spacing w:after="0" w:line="255" w:lineRule="auto"/>
        <w:tabs>
          <w:tab w:leader="none" w:pos="847" w:val="left"/>
        </w:tabs>
        <w:numPr>
          <w:ilvl w:val="1"/>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Except as set forth explicitly below, this Policy applies to any and all transactions in the Company’s securities, including transactions in common stock, options, preferred stock, and any other type of securities that the Company may issue, as well as to derivative securities relating to any of the Company's securities, whether or not issued by the Company.</w:t>
      </w:r>
    </w:p>
    <w:p>
      <w:pPr>
        <w:spacing w:after="0" w:line="345" w:lineRule="exact"/>
        <w:rPr>
          <w:sz w:val="20"/>
          <w:szCs w:val="20"/>
          <w:color w:val="auto"/>
        </w:rPr>
      </w:pPr>
    </w:p>
    <w:p>
      <w:pPr>
        <w:ind w:left="427" w:hanging="427"/>
        <w:spacing w:after="0"/>
        <w:tabs>
          <w:tab w:leader="none" w:pos="427"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SPECIFIC GUIDANCE</w:t>
      </w:r>
    </w:p>
    <w:p>
      <w:pPr>
        <w:spacing w:after="0" w:line="189" w:lineRule="exact"/>
        <w:rPr>
          <w:rFonts w:ascii="Times New Roman" w:cs="Times New Roman" w:eastAsia="Times New Roman" w:hAnsi="Times New Roman"/>
          <w:sz w:val="16"/>
          <w:szCs w:val="16"/>
          <w:b w:val="1"/>
          <w:bCs w:val="1"/>
          <w:color w:val="auto"/>
        </w:rPr>
      </w:pPr>
    </w:p>
    <w:p>
      <w:pPr>
        <w:ind w:left="427"/>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Generally Prohibited Activities.</w:t>
      </w:r>
    </w:p>
    <w:p>
      <w:pPr>
        <w:spacing w:after="0" w:line="214" w:lineRule="exact"/>
        <w:rPr>
          <w:rFonts w:ascii="Times New Roman" w:cs="Times New Roman" w:eastAsia="Times New Roman" w:hAnsi="Times New Roman"/>
          <w:sz w:val="16"/>
          <w:szCs w:val="16"/>
          <w:b w:val="1"/>
          <w:bCs w:val="1"/>
          <w:color w:val="auto"/>
        </w:rPr>
      </w:pPr>
    </w:p>
    <w:p>
      <w:pPr>
        <w:ind w:left="1267" w:hanging="426"/>
        <w:spacing w:after="0"/>
        <w:tabs>
          <w:tab w:leader="none" w:pos="1267"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in Company Securities</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1687" w:hanging="426"/>
        <w:spacing w:after="0"/>
        <w:tabs>
          <w:tab w:leader="none" w:pos="1687" w:val="left"/>
        </w:tabs>
        <w:numPr>
          <w:ilvl w:val="3"/>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Insider may buy, sell or otherwise trade in Company securities while aware of material nonpublic information concerning the Company.</w:t>
      </w:r>
    </w:p>
    <w:p>
      <w:pPr>
        <w:spacing w:after="0" w:line="212" w:lineRule="exact"/>
        <w:rPr>
          <w:rFonts w:ascii="Times New Roman" w:cs="Times New Roman" w:eastAsia="Times New Roman" w:hAnsi="Times New Roman"/>
          <w:sz w:val="16"/>
          <w:szCs w:val="16"/>
          <w:color w:val="auto"/>
        </w:rPr>
      </w:pPr>
    </w:p>
    <w:p>
      <w:pPr>
        <w:ind w:left="1687" w:hanging="426"/>
        <w:spacing w:after="0" w:line="267" w:lineRule="auto"/>
        <w:tabs>
          <w:tab w:leader="none" w:pos="1687" w:val="left"/>
        </w:tabs>
        <w:numPr>
          <w:ilvl w:val="3"/>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Insider may buy, sell or otherwise trade in Company securities during any special trading blackout period applicable to such Insider as designated by the Compliance Officer.</w:t>
      </w:r>
    </w:p>
    <w:p>
      <w:pPr>
        <w:spacing w:after="0" w:line="150" w:lineRule="exact"/>
        <w:rPr>
          <w:rFonts w:ascii="Times New Roman" w:cs="Times New Roman" w:eastAsia="Times New Roman" w:hAnsi="Times New Roman"/>
          <w:sz w:val="16"/>
          <w:szCs w:val="16"/>
          <w:color w:val="auto"/>
        </w:rPr>
      </w:pPr>
    </w:p>
    <w:p>
      <w:pPr>
        <w:jc w:val="both"/>
        <w:ind w:left="1267" w:hanging="426"/>
        <w:spacing w:after="0" w:line="309" w:lineRule="auto"/>
        <w:tabs>
          <w:tab w:leader="none" w:pos="1267"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Tipping</w:t>
      </w:r>
      <w:r>
        <w:rPr>
          <w:rFonts w:ascii="Times New Roman" w:cs="Times New Roman" w:eastAsia="Times New Roman" w:hAnsi="Times New Roman"/>
          <w:sz w:val="14"/>
          <w:szCs w:val="14"/>
          <w:color w:val="auto"/>
        </w:rPr>
        <w:t>. Providing material nonpublic information to another person who may trade or advise others to trade on the basis of that information is known as “tipping” and is illegal. Therefore, no Insider may “tip” or provide material nonpublic information concerning the Company to any person other than a director, officer or employee of the Company, unless required as part of that Insider’s regular duties for the Company and authorized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5073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11" w:name="page112"/>
    <w:bookmarkEnd w:id="111"/>
    <w:p>
      <w:pPr>
        <w:jc w:val="both"/>
        <w:ind w:left="1260" w:hanging="426"/>
        <w:spacing w:after="0" w:line="255" w:lineRule="auto"/>
        <w:tabs>
          <w:tab w:leader="none" w:pos="126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6"/>
          <w:szCs w:val="16"/>
          <w:u w:val="single" w:color="auto"/>
          <w:color w:val="auto"/>
        </w:rPr>
        <w:t>rading in Securities of Other Companies</w:t>
      </w:r>
      <w:r>
        <w:rPr>
          <w:rFonts w:ascii="Times New Roman" w:cs="Times New Roman" w:eastAsia="Times New Roman" w:hAnsi="Times New Roman"/>
          <w:sz w:val="16"/>
          <w:szCs w:val="16"/>
          <w:color w:val="auto"/>
        </w:rPr>
        <w:t>. No Insider may, while in possession of material nonpublic information about any other public company gained in the course of employment with the Company, (a) trade in the securities of the other public company, (b) “tip” or disclose such material nonpublic information concerning that company to anyone, or (c) give trading advice of any kind to anyone concerning the other public company.</w:t>
      </w:r>
    </w:p>
    <w:p>
      <w:pPr>
        <w:spacing w:after="0" w:line="158" w:lineRule="exact"/>
        <w:rPr>
          <w:rFonts w:ascii="Times New Roman" w:cs="Times New Roman" w:eastAsia="Times New Roman" w:hAnsi="Times New Roman"/>
          <w:sz w:val="16"/>
          <w:szCs w:val="16"/>
          <w:color w:val="auto"/>
        </w:rPr>
      </w:pPr>
    </w:p>
    <w:p>
      <w:pPr>
        <w:ind w:left="840" w:hanging="427"/>
        <w:spacing w:after="0"/>
        <w:tabs>
          <w:tab w:leader="none" w:pos="84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Restrictions Applicable to Section 16 Individuals and Key Employees.</w:t>
      </w:r>
    </w:p>
    <w:p>
      <w:pPr>
        <w:spacing w:after="0" w:line="212" w:lineRule="exact"/>
        <w:rPr>
          <w:rFonts w:ascii="Times New Roman" w:cs="Times New Roman" w:eastAsia="Times New Roman" w:hAnsi="Times New Roman"/>
          <w:sz w:val="16"/>
          <w:szCs w:val="16"/>
          <w:b w:val="1"/>
          <w:bCs w:val="1"/>
          <w:color w:val="auto"/>
        </w:rPr>
      </w:pPr>
    </w:p>
    <w:p>
      <w:pPr>
        <w:ind w:left="1260" w:hanging="426"/>
        <w:spacing w:after="0" w:line="270" w:lineRule="auto"/>
        <w:tabs>
          <w:tab w:leader="none" w:pos="12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Section 16 Individual or Key Employee listed on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may trade in Company securities outside of the Company trading window described in Section V.B below.</w:t>
      </w:r>
    </w:p>
    <w:p>
      <w:pPr>
        <w:spacing w:after="0" w:line="148" w:lineRule="exact"/>
        <w:rPr>
          <w:rFonts w:ascii="Times New Roman" w:cs="Times New Roman" w:eastAsia="Times New Roman" w:hAnsi="Times New Roman"/>
          <w:sz w:val="16"/>
          <w:szCs w:val="16"/>
          <w:color w:val="auto"/>
        </w:rPr>
      </w:pPr>
    </w:p>
    <w:p>
      <w:pPr>
        <w:ind w:left="1260" w:right="20" w:hanging="426"/>
        <w:spacing w:after="0" w:line="267" w:lineRule="auto"/>
        <w:tabs>
          <w:tab w:leader="none" w:pos="12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Section 16 Individual may trade in Company securities unless the trade(s) have been approved by the Compliance Officer in accordance with the procedures set forth in Section V.C.1 below.</w:t>
      </w:r>
    </w:p>
    <w:p>
      <w:pPr>
        <w:spacing w:after="0" w:line="148" w:lineRule="exact"/>
        <w:rPr>
          <w:rFonts w:ascii="Times New Roman" w:cs="Times New Roman" w:eastAsia="Times New Roman" w:hAnsi="Times New Roman"/>
          <w:sz w:val="16"/>
          <w:szCs w:val="16"/>
          <w:color w:val="auto"/>
        </w:rPr>
      </w:pPr>
    </w:p>
    <w:p>
      <w:pPr>
        <w:ind w:left="840" w:hanging="427"/>
        <w:spacing w:after="0"/>
        <w:tabs>
          <w:tab w:leader="none" w:pos="84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Exceptions.</w:t>
      </w:r>
    </w:p>
    <w:p>
      <w:pPr>
        <w:spacing w:after="0" w:line="214" w:lineRule="exact"/>
        <w:rPr>
          <w:rFonts w:ascii="Times New Roman" w:cs="Times New Roman" w:eastAsia="Times New Roman" w:hAnsi="Times New Roman"/>
          <w:sz w:val="16"/>
          <w:szCs w:val="16"/>
          <w:b w:val="1"/>
          <w:bCs w:val="1"/>
          <w:color w:val="auto"/>
        </w:rPr>
      </w:pPr>
    </w:p>
    <w:p>
      <w:pPr>
        <w:ind w:left="8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prohibited activities above do not apply to:</w:t>
      </w:r>
    </w:p>
    <w:p>
      <w:pPr>
        <w:spacing w:after="0" w:line="189" w:lineRule="exact"/>
        <w:rPr>
          <w:rFonts w:ascii="Times New Roman" w:cs="Times New Roman" w:eastAsia="Times New Roman" w:hAnsi="Times New Roman"/>
          <w:sz w:val="16"/>
          <w:szCs w:val="16"/>
          <w:b w:val="1"/>
          <w:bCs w:val="1"/>
          <w:color w:val="auto"/>
        </w:rPr>
      </w:pPr>
    </w:p>
    <w:p>
      <w:pPr>
        <w:jc w:val="both"/>
        <w:ind w:left="1260" w:hanging="426"/>
        <w:spacing w:after="0" w:line="251" w:lineRule="auto"/>
        <w:tabs>
          <w:tab w:leader="none" w:pos="12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Exercises of stock options or similar equity awards or the surrender of shares to the Company in payment of the stock option exercise price or in satisfaction of any tax withholding obligations, provided that any securities acquired pursuant to such exercise may not be sold while the Insider is in possession of material nonpublic information or subject to a special trading blackout or, with respect to Section 16 Individuals and Key Employees, while the Company’s trading window is closed.</w:t>
      </w:r>
    </w:p>
    <w:p>
      <w:pPr>
        <w:spacing w:after="0" w:line="163" w:lineRule="exact"/>
        <w:rPr>
          <w:rFonts w:ascii="Times New Roman" w:cs="Times New Roman" w:eastAsia="Times New Roman" w:hAnsi="Times New Roman"/>
          <w:sz w:val="16"/>
          <w:szCs w:val="16"/>
          <w:color w:val="auto"/>
        </w:rPr>
      </w:pPr>
    </w:p>
    <w:p>
      <w:pPr>
        <w:jc w:val="both"/>
        <w:ind w:left="1260" w:hanging="426"/>
        <w:spacing w:after="0" w:line="255" w:lineRule="auto"/>
        <w:tabs>
          <w:tab w:leader="none" w:pos="12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or dispositions of Company securities under the Company’s 401(k) plan or any other individual account that are made pursuant to standing instructions entered into while the Insider is not in possession of material nonpublic information or otherwise subject to a special trading blackout and, with respect to Section 16 Individuals and Key Employees, while the Company’s trading window is open.</w:t>
      </w:r>
    </w:p>
    <w:p>
      <w:pPr>
        <w:spacing w:after="0" w:line="160"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or sales made pursuant to a Rule 10b5-1 plan that is adopted and operated in compliance with the terms of this Policy (see Section VII).</w:t>
      </w:r>
    </w:p>
    <w:p>
      <w:pPr>
        <w:spacing w:after="0" w:line="2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IV.</w:t>
        <w:tab/>
        <w:t>DETERMINING WHETHER INFORMATION IS MATERIAL AND NONPUBLIC</w:t>
      </w:r>
    </w:p>
    <w:p>
      <w:pPr>
        <w:spacing w:after="0" w:line="189" w:lineRule="exact"/>
        <w:rPr>
          <w:sz w:val="20"/>
          <w:szCs w:val="20"/>
          <w:color w:val="auto"/>
        </w:rPr>
      </w:pPr>
    </w:p>
    <w:p>
      <w:pPr>
        <w:ind w:left="840" w:hanging="427"/>
        <w:spacing w:after="0"/>
        <w:tabs>
          <w:tab w:leader="none" w:pos="84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Definition of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339725</wp:posOffset>
            </wp:positionV>
            <wp:extent cx="715073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2" w:name="page113"/>
    <w:bookmarkEnd w:id="112"/>
    <w:p>
      <w:pPr>
        <w:ind w:left="426" w:right="20" w:hanging="426"/>
        <w:spacing w:after="0" w:line="267" w:lineRule="auto"/>
        <w:tabs>
          <w:tab w:leader="none" w:pos="42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bright line test for determining whether particular information is material. Such a determination depends on the facts and circumstances unique to each situation, and cannot be made solely based on the potential financial impact of the information.</w:t>
      </w:r>
    </w:p>
    <w:p>
      <w:pPr>
        <w:spacing w:after="0" w:line="150" w:lineRule="exact"/>
        <w:rPr>
          <w:rFonts w:ascii="Times New Roman" w:cs="Times New Roman" w:eastAsia="Times New Roman" w:hAnsi="Times New Roman"/>
          <w:sz w:val="16"/>
          <w:szCs w:val="16"/>
          <w:color w:val="auto"/>
        </w:rPr>
      </w:pPr>
    </w:p>
    <w:p>
      <w:pPr>
        <w:ind w:left="426" w:hanging="426"/>
        <w:spacing w:after="0"/>
        <w:tabs>
          <w:tab w:leader="none" w:pos="42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general, information about the Company should be considered “material” if:</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reasonable investor would consider the information significant when deciding whether to buy or sell Company securities; or</w:t>
      </w:r>
    </w:p>
    <w:p>
      <w:pPr>
        <w:spacing w:after="0" w:line="212" w:lineRule="exact"/>
        <w:rPr>
          <w:rFonts w:ascii="Times New Roman" w:cs="Times New Roman" w:eastAsia="Times New Roman" w:hAnsi="Times New Roman"/>
          <w:sz w:val="16"/>
          <w:szCs w:val="16"/>
          <w:color w:val="auto"/>
        </w:rPr>
      </w:pPr>
    </w:p>
    <w:p>
      <w:pPr>
        <w:ind w:left="846" w:hanging="426"/>
        <w:spacing w:after="0" w:line="267" w:lineRule="auto"/>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if disclosed, could be viewed by a reasonable investor as having significantly altered the total mix of information available in the marketplace about the Company.</w:t>
      </w:r>
    </w:p>
    <w:p>
      <w:pPr>
        <w:spacing w:after="0" w:line="15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6"/>
          <w:szCs w:val="16"/>
          <w:color w:val="auto"/>
        </w:rPr>
        <w:t>Put simply, if the information could reasonably be expected to affect the price of the Company’s stock, it should be considered material.</w:t>
      </w:r>
    </w:p>
    <w:p>
      <w:pPr>
        <w:spacing w:after="0" w:line="189" w:lineRule="exact"/>
        <w:rPr>
          <w:sz w:val="20"/>
          <w:szCs w:val="20"/>
          <w:color w:val="auto"/>
        </w:rPr>
      </w:pPr>
    </w:p>
    <w:p>
      <w:pPr>
        <w:ind w:left="426" w:hanging="426"/>
        <w:spacing w:after="0" w:line="340" w:lineRule="auto"/>
        <w:tabs>
          <w:tab w:leader="none" w:pos="42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important to remember that whether information is material will be viewed by enforcement authorities with the benefit of hindsight. In other words, if the price of the Company’s stock changed as a result of the information having been made public, it will likely be considered material by enforcement authorities.</w:t>
      </w:r>
    </w:p>
    <w:p>
      <w:pPr>
        <w:spacing w:after="0" w:line="104" w:lineRule="exact"/>
        <w:rPr>
          <w:rFonts w:ascii="Times New Roman" w:cs="Times New Roman" w:eastAsia="Times New Roman" w:hAnsi="Times New Roman"/>
          <w:sz w:val="14"/>
          <w:szCs w:val="14"/>
          <w:color w:val="auto"/>
        </w:rPr>
      </w:pPr>
    </w:p>
    <w:p>
      <w:pPr>
        <w:ind w:left="426" w:hanging="426"/>
        <w:spacing w:after="0"/>
        <w:tabs>
          <w:tab w:leader="none" w:pos="42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it is not possible to identify every type of information that could be deemed “material,” the following matters ordinarily should be considered material:</w:t>
      </w:r>
    </w:p>
    <w:p>
      <w:pPr>
        <w:spacing w:after="0" w:line="235" w:lineRule="exact"/>
        <w:rPr>
          <w:rFonts w:ascii="Times New Roman" w:cs="Times New Roman" w:eastAsia="Times New Roman" w:hAnsi="Times New Roman"/>
          <w:sz w:val="14"/>
          <w:szCs w:val="14"/>
          <w:color w:val="auto"/>
        </w:rPr>
      </w:pPr>
    </w:p>
    <w:p>
      <w:pPr>
        <w:ind w:left="846" w:hanging="426"/>
        <w:spacing w:after="0" w:line="267"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changes in the Company's prospects, whether positive or negative (e.g., news regarding approval of a drug candidate by the FDA, results of clinical trials or FDA regulatory actions);</w:t>
      </w:r>
    </w:p>
    <w:p>
      <w:pPr>
        <w:spacing w:after="0" w:line="150"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discoveries or significant changes or developments in products or product lines, research or technologies;</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developments regarding product and research development;</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litigation or government agency investigations;</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performance, especially quarterly and year-end earnings or significant changes in financial performance or liquidity;</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changes in management;</w:t>
      </w:r>
    </w:p>
    <w:p>
      <w:pPr>
        <w:spacing w:after="0" w:line="212" w:lineRule="exact"/>
        <w:rPr>
          <w:rFonts w:ascii="Times New Roman" w:cs="Times New Roman" w:eastAsia="Times New Roman" w:hAnsi="Times New Roman"/>
          <w:sz w:val="16"/>
          <w:szCs w:val="16"/>
          <w:color w:val="auto"/>
        </w:rPr>
      </w:pPr>
    </w:p>
    <w:p>
      <w:pPr>
        <w:ind w:left="846" w:hanging="426"/>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a significant new product or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338455</wp:posOffset>
            </wp:positionV>
            <wp:extent cx="715073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26"/>
          </w:cols>
          <w:pgMar w:left="1154" w:top="520" w:right="319" w:bottom="1440" w:gutter="0" w:footer="0" w:header="0"/>
        </w:sectPr>
      </w:pPr>
    </w:p>
    <w:bookmarkStart w:id="113" w:name="page114"/>
    <w:bookmarkEnd w:id="113"/>
    <w:p>
      <w:pPr>
        <w:ind w:left="1680" w:hanging="426"/>
        <w:spacing w:after="0" w:line="267" w:lineRule="auto"/>
        <w:tabs>
          <w:tab w:leader="none" w:pos="1680" w:val="left"/>
        </w:tabs>
        <w:numPr>
          <w:ilvl w:val="3"/>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proposals, plans or agreements, even if preliminary in nature, involving mergers, acquisitions, divestitures, strategic alliances, joint ventures, licensing arrangements, or purchases or sales of substantial assets;</w:t>
      </w:r>
    </w:p>
    <w:p>
      <w:pPr>
        <w:spacing w:after="0" w:line="150" w:lineRule="exact"/>
        <w:rPr>
          <w:rFonts w:ascii="Times New Roman" w:cs="Times New Roman" w:eastAsia="Times New Roman" w:hAnsi="Times New Roman"/>
          <w:sz w:val="16"/>
          <w:szCs w:val="16"/>
          <w:color w:val="auto"/>
        </w:rPr>
      </w:pPr>
    </w:p>
    <w:p>
      <w:pPr>
        <w:ind w:left="1680" w:hanging="426"/>
        <w:spacing w:after="0"/>
        <w:tabs>
          <w:tab w:leader="none" w:pos="1680" w:val="left"/>
        </w:tabs>
        <w:numPr>
          <w:ilvl w:val="3"/>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contents of forthcoming publications that may affect the market price of Company securities; and</w:t>
      </w:r>
    </w:p>
    <w:p>
      <w:pPr>
        <w:spacing w:after="0" w:line="212" w:lineRule="exact"/>
        <w:rPr>
          <w:rFonts w:ascii="Times New Roman" w:cs="Times New Roman" w:eastAsia="Times New Roman" w:hAnsi="Times New Roman"/>
          <w:sz w:val="16"/>
          <w:szCs w:val="16"/>
          <w:color w:val="auto"/>
        </w:rPr>
      </w:pPr>
    </w:p>
    <w:p>
      <w:pPr>
        <w:ind w:left="1680" w:hanging="426"/>
        <w:spacing w:after="0"/>
        <w:tabs>
          <w:tab w:leader="none" w:pos="1680" w:val="left"/>
        </w:tabs>
        <w:numPr>
          <w:ilvl w:val="3"/>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offerings of Company securities.</w:t>
      </w:r>
    </w:p>
    <w:p>
      <w:pPr>
        <w:spacing w:after="0" w:line="210" w:lineRule="exact"/>
        <w:rPr>
          <w:rFonts w:ascii="Times New Roman" w:cs="Times New Roman" w:eastAsia="Times New Roman" w:hAnsi="Times New Roman"/>
          <w:sz w:val="16"/>
          <w:szCs w:val="16"/>
          <w:color w:val="auto"/>
        </w:rPr>
      </w:pPr>
    </w:p>
    <w:p>
      <w:pPr>
        <w:ind w:left="840" w:hanging="427"/>
        <w:spacing w:after="0"/>
        <w:tabs>
          <w:tab w:leader="none" w:pos="840"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Definition of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Nonpublic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Information.</w:t>
      </w:r>
    </w:p>
    <w:p>
      <w:pPr>
        <w:spacing w:after="0" w:line="214" w:lineRule="exact"/>
        <w:rPr>
          <w:rFonts w:ascii="Times New Roman" w:cs="Times New Roman" w:eastAsia="Times New Roman" w:hAnsi="Times New Roman"/>
          <w:sz w:val="16"/>
          <w:szCs w:val="16"/>
          <w:b w:val="1"/>
          <w:bCs w:val="1"/>
          <w:color w:val="auto"/>
        </w:rPr>
      </w:pPr>
    </w:p>
    <w:p>
      <w:pPr>
        <w:jc w:val="both"/>
        <w:ind w:left="840" w:right="2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Information is “nonpublic” if it has not been disseminated to investors through a widely circulated news or wire service (such as Dow Jones, Bloomberg, PR Newswire, etc.) or through a public filing with the Securities and Exchange Commission (the “SEC”). For the purposes of this Policy, information will be not considered public until after the close of trading on the second full trading day following the Company’s widespread public release of the information.</w:t>
      </w:r>
    </w:p>
    <w:p>
      <w:pPr>
        <w:spacing w:after="0" w:line="158"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Consult the Compliance Officer for Guidance.</w:t>
      </w:r>
    </w:p>
    <w:p>
      <w:pPr>
        <w:spacing w:after="0" w:line="214" w:lineRule="exact"/>
        <w:rPr>
          <w:rFonts w:ascii="Times New Roman" w:cs="Times New Roman" w:eastAsia="Times New Roman" w:hAnsi="Times New Roman"/>
          <w:sz w:val="16"/>
          <w:szCs w:val="16"/>
          <w:b w:val="1"/>
          <w:bCs w:val="1"/>
          <w:color w:val="auto"/>
        </w:rPr>
      </w:pPr>
    </w:p>
    <w:p>
      <w:pPr>
        <w:ind w:left="84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Insider who is unsure whether the information that he or she possesses is material or nonpublic should consult the Compliance Officer for guidance before trading in any Company securities.</w:t>
      </w:r>
    </w:p>
    <w:p>
      <w:pPr>
        <w:spacing w:after="0" w:line="148"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Post Termination Transactions</w:t>
      </w:r>
    </w:p>
    <w:p>
      <w:pPr>
        <w:spacing w:after="0" w:line="214" w:lineRule="exact"/>
        <w:rPr>
          <w:rFonts w:ascii="Times New Roman" w:cs="Times New Roman" w:eastAsia="Times New Roman" w:hAnsi="Times New Roman"/>
          <w:sz w:val="16"/>
          <w:szCs w:val="16"/>
          <w:b w:val="1"/>
          <w:bCs w:val="1"/>
          <w:color w:val="auto"/>
        </w:rPr>
      </w:pPr>
    </w:p>
    <w:p>
      <w:pPr>
        <w:jc w:val="both"/>
        <w:ind w:left="84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Policy continues to apply to transactions in Company securities even after the termination of services to the Company. If an individual is in possession of material non-public information when his or her service terminates, that individual may not trade in the Company Securities until that information has become public or is no longer material.</w:t>
      </w:r>
    </w:p>
    <w:p>
      <w:pPr>
        <w:spacing w:after="0" w:line="158"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    ADDITIONAL PROVISIONS FOR SECTION 16 INDIVIDUALS AND KEY EMPLOYEES</w:t>
      </w:r>
    </w:p>
    <w:p>
      <w:pPr>
        <w:spacing w:after="0" w:line="189"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1"/>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 of Section 16 Individuals and Key Employees.</w:t>
      </w:r>
    </w:p>
    <w:p>
      <w:pPr>
        <w:spacing w:after="0" w:line="214" w:lineRule="exact"/>
        <w:rPr>
          <w:rFonts w:ascii="Times New Roman" w:cs="Times New Roman" w:eastAsia="Times New Roman" w:hAnsi="Times New Roman"/>
          <w:sz w:val="16"/>
          <w:szCs w:val="16"/>
          <w:b w:val="1"/>
          <w:bCs w:val="1"/>
          <w:color w:val="auto"/>
        </w:rPr>
      </w:pPr>
    </w:p>
    <w:p>
      <w:pPr>
        <w:jc w:val="both"/>
        <w:ind w:left="1260" w:hanging="426"/>
        <w:spacing w:after="0" w:line="255" w:lineRule="auto"/>
        <w:tabs>
          <w:tab w:leader="none" w:pos="1260"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16 Individual</w:t>
      </w:r>
      <w:r>
        <w:rPr>
          <w:rFonts w:ascii="Times New Roman" w:cs="Times New Roman" w:eastAsia="Times New Roman" w:hAnsi="Times New Roman"/>
          <w:sz w:val="16"/>
          <w:szCs w:val="16"/>
          <w:color w:val="auto"/>
        </w:rPr>
        <w:t>” – Each member of the Company’s Board of Directors (“Board”), those executive officers of the Company designated by the Board as “Section 16 officers” of the Company and their respective family members and others in their households. A list of the Section 16 Individuals is contained on Appendix A, which may be supplemented or amended from time to time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15073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4" w:name="page115"/>
    <w:bookmarkEnd w:id="114"/>
    <w:p>
      <w:pPr>
        <w:jc w:val="both"/>
        <w:ind w:left="847" w:right="20" w:hanging="426"/>
        <w:spacing w:after="0" w:line="255" w:lineRule="auto"/>
        <w:tabs>
          <w:tab w:leader="none" w:pos="847"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“Key Employees</w:t>
      </w:r>
      <w:r>
        <w:rPr>
          <w:rFonts w:ascii="Times New Roman" w:cs="Times New Roman" w:eastAsia="Times New Roman" w:hAnsi="Times New Roman"/>
          <w:sz w:val="16"/>
          <w:szCs w:val="16"/>
          <w:color w:val="auto"/>
        </w:rPr>
        <w:t>” –Certain individuals listed are designated as Key Employees because of their position with the Company and their possible access to material nonpublic information. A list of the Key Employees is contained on Appendix A, which may be supplemented or amended from time to time by the Compliance Officer.</w:t>
      </w:r>
    </w:p>
    <w:p>
      <w:pPr>
        <w:spacing w:after="0" w:line="158"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Trading Window.</w:t>
      </w:r>
    </w:p>
    <w:p>
      <w:pPr>
        <w:spacing w:after="0" w:line="214" w:lineRule="exact"/>
        <w:rPr>
          <w:rFonts w:ascii="Times New Roman" w:cs="Times New Roman" w:eastAsia="Times New Roman" w:hAnsi="Times New Roman"/>
          <w:sz w:val="16"/>
          <w:szCs w:val="16"/>
          <w:b w:val="1"/>
          <w:bCs w:val="1"/>
          <w:color w:val="auto"/>
        </w:rPr>
      </w:pPr>
    </w:p>
    <w:p>
      <w:pPr>
        <w:jc w:val="both"/>
        <w:ind w:left="427"/>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16 Individuals and Key Employees may buy, sell or trade in Company securities only while the Company’s trading window is open. In general, the Company’s trading window opens after the close of trading on the second full trading day following the earlier of the Company's filing its Form 10-Q or Form 10-K or the Company’s public announcement of quarterly earnings, and remains open through the last trading day of the third calendar month of the then-current fiscal quarter (the "Open Window").</w:t>
      </w:r>
    </w:p>
    <w:p>
      <w:pPr>
        <w:spacing w:after="0" w:line="163" w:lineRule="exact"/>
        <w:rPr>
          <w:rFonts w:ascii="Times New Roman" w:cs="Times New Roman" w:eastAsia="Times New Roman" w:hAnsi="Times New Roman"/>
          <w:sz w:val="16"/>
          <w:szCs w:val="16"/>
          <w:b w:val="1"/>
          <w:bCs w:val="1"/>
          <w:color w:val="auto"/>
        </w:rPr>
      </w:pPr>
    </w:p>
    <w:p>
      <w:pPr>
        <w:jc w:val="both"/>
        <w:ind w:left="427"/>
        <w:spacing w:after="0" w:line="24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addition, the Company, through the Compliance Officer, may authorize longer or additional trading windows in which buying, selling or otherwise effecting transactions in the Company's securities shall be permitted pursuant to this Policy as if it were the "Open Window." Similarly, the Company, through the Compliance Officer, may impose special black-out periods during which certain persons will be prohibited from buying, selling or otherwise effecting transactions in any stock or other securities of the Company or derivative securities thereof, even through the trading windows would otherwise be open. If a special black-out period is imposed, the Company will notify affected individuals, who should not engage in any transaction involving the purchase or sale of the Company's securities during the blackout period and should not disclose to others the fact of such suspension of trading.</w:t>
      </w:r>
    </w:p>
    <w:p>
      <w:pPr>
        <w:spacing w:after="0" w:line="166" w:lineRule="exact"/>
        <w:rPr>
          <w:rFonts w:ascii="Times New Roman" w:cs="Times New Roman" w:eastAsia="Times New Roman" w:hAnsi="Times New Roman"/>
          <w:sz w:val="16"/>
          <w:szCs w:val="16"/>
          <w:b w:val="1"/>
          <w:bCs w:val="1"/>
          <w:color w:val="auto"/>
        </w:rPr>
      </w:pPr>
    </w:p>
    <w:p>
      <w:pPr>
        <w:jc w:val="both"/>
        <w:ind w:left="427"/>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should be noted that even during the Open Window, any Section 16 Individual or Key Employee who is in possession of material nonpublic information regarding the Company shall not engage in any transaction in the Company's securities until the close of trading on the second full trading day following the Company’s widespread public release of the material information.</w:t>
      </w:r>
    </w:p>
    <w:p>
      <w:pPr>
        <w:spacing w:after="0" w:line="158" w:lineRule="exact"/>
        <w:rPr>
          <w:rFonts w:ascii="Times New Roman" w:cs="Times New Roman" w:eastAsia="Times New Roman" w:hAnsi="Times New Roman"/>
          <w:sz w:val="16"/>
          <w:szCs w:val="16"/>
          <w:b w:val="1"/>
          <w:bCs w:val="1"/>
          <w:color w:val="auto"/>
        </w:rPr>
      </w:pPr>
    </w:p>
    <w:p>
      <w:pPr>
        <w:ind w:left="427" w:hanging="427"/>
        <w:spacing w:after="0"/>
        <w:tabs>
          <w:tab w:leader="none" w:pos="427"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Procedures for approving trades by Section 16 Individuals</w:t>
      </w:r>
    </w:p>
    <w:p>
      <w:pPr>
        <w:spacing w:after="0" w:line="214" w:lineRule="exact"/>
        <w:rPr>
          <w:rFonts w:ascii="Times New Roman" w:cs="Times New Roman" w:eastAsia="Times New Roman" w:hAnsi="Times New Roman"/>
          <w:sz w:val="16"/>
          <w:szCs w:val="16"/>
          <w:b w:val="1"/>
          <w:bCs w:val="1"/>
          <w:color w:val="auto"/>
        </w:rPr>
      </w:pPr>
    </w:p>
    <w:p>
      <w:pPr>
        <w:ind w:left="847" w:hanging="426"/>
        <w:spacing w:after="0"/>
        <w:tabs>
          <w:tab w:leader="none" w:pos="847"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16 Individual Trades</w:t>
      </w:r>
      <w:r>
        <w:rPr>
          <w:rFonts w:ascii="Times New Roman" w:cs="Times New Roman" w:eastAsia="Times New Roman" w:hAnsi="Times New Roman"/>
          <w:sz w:val="16"/>
          <w:szCs w:val="16"/>
          <w:color w:val="auto"/>
        </w:rPr>
        <w:t>. No Section 16 Individual may trade in Company securities until:</w:t>
      </w:r>
    </w:p>
    <w:p>
      <w:pPr>
        <w:spacing w:after="0" w:line="212" w:lineRule="exact"/>
        <w:rPr>
          <w:rFonts w:ascii="Times New Roman" w:cs="Times New Roman" w:eastAsia="Times New Roman" w:hAnsi="Times New Roman"/>
          <w:sz w:val="16"/>
          <w:szCs w:val="16"/>
          <w:color w:val="auto"/>
        </w:rPr>
      </w:pPr>
    </w:p>
    <w:p>
      <w:pPr>
        <w:ind w:left="1267" w:hanging="426"/>
        <w:spacing w:after="0" w:line="267" w:lineRule="auto"/>
        <w:tabs>
          <w:tab w:leader="none" w:pos="1267" w:val="left"/>
        </w:tabs>
        <w:numPr>
          <w:ilvl w:val="2"/>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notified the Compliance Officer in writing, at least three business days prior to the proposed trade(s), of the amount and nature of the proposed trade(s),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299085</wp:posOffset>
            </wp:positionV>
            <wp:extent cx="715073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847"/>
          </w:cols>
          <w:pgMar w:left="733" w:top="520" w:right="319" w:bottom="1440" w:gutter="0" w:footer="0" w:header="0"/>
        </w:sectPr>
      </w:pPr>
    </w:p>
    <w:bookmarkStart w:id="115" w:name="page116"/>
    <w:bookmarkEnd w:id="115"/>
    <w:p>
      <w:pPr>
        <w:ind w:left="1680" w:right="20" w:hanging="426"/>
        <w:spacing w:after="0" w:line="267" w:lineRule="auto"/>
        <w:tabs>
          <w:tab w:leader="none" w:pos="16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certified to the Compliance Officer in writing, no more than three business days prior to the proposed trade(s), that he or she is not aware of material nonpublic information regarding the Company.</w:t>
      </w:r>
    </w:p>
    <w:p>
      <w:pPr>
        <w:spacing w:after="0" w:line="149" w:lineRule="exact"/>
        <w:rPr>
          <w:sz w:val="20"/>
          <w:szCs w:val="20"/>
          <w:color w:val="auto"/>
        </w:rPr>
      </w:pPr>
    </w:p>
    <w:p>
      <w:pPr>
        <w:jc w:val="both"/>
        <w:ind w:left="1260"/>
        <w:spacing w:after="0" w:line="252" w:lineRule="auto"/>
        <w:rPr>
          <w:sz w:val="20"/>
          <w:szCs w:val="20"/>
          <w:color w:val="auto"/>
        </w:rPr>
      </w:pPr>
      <w:r>
        <w:rPr>
          <w:rFonts w:ascii="Times New Roman" w:cs="Times New Roman" w:eastAsia="Times New Roman" w:hAnsi="Times New Roman"/>
          <w:sz w:val="16"/>
          <w:szCs w:val="16"/>
          <w:color w:val="auto"/>
        </w:rPr>
        <w:t xml:space="preserve">The notice and certification required by this Section V.C.1 shall be given using the form attached hereto as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 Beginning on the day that is the fourth business day following the date of such notice, and for four additional business days thereafter, provided that the facts referred to in the certification remain correct, the Section 16 Individual may execute the trade set forth in such notice. Once the approval period identified in the notice has expired, a new notice and certification pursuant to this Section V.C.1 must be given in order for the Section 16 Individual to trade in Company securities.</w:t>
      </w:r>
    </w:p>
    <w:p>
      <w:pPr>
        <w:spacing w:after="0" w:line="163" w:lineRule="exact"/>
        <w:rPr>
          <w:sz w:val="20"/>
          <w:szCs w:val="20"/>
          <w:color w:val="auto"/>
        </w:rPr>
      </w:pPr>
    </w:p>
    <w:p>
      <w:pPr>
        <w:jc w:val="both"/>
        <w:ind w:left="1260" w:right="20" w:hanging="426"/>
        <w:spacing w:after="0" w:line="255" w:lineRule="auto"/>
        <w:tabs>
          <w:tab w:leader="none" w:pos="126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Obligation to Approve Trades</w:t>
      </w:r>
      <w:r>
        <w:rPr>
          <w:rFonts w:ascii="Times New Roman" w:cs="Times New Roman" w:eastAsia="Times New Roman" w:hAnsi="Times New Roman"/>
          <w:sz w:val="16"/>
          <w:szCs w:val="16"/>
          <w:color w:val="auto"/>
        </w:rPr>
        <w:t>. The existence of the foregoing approval procedures does not in any way obligate the Compliance Officer (or, in the case of any trade by the Compliance Officer, the Chief Executive Officer or the Chief Financial Officer of the Company) to approve any trades requested by Section 16 Individuals or the Compliance Officer.</w:t>
      </w:r>
    </w:p>
    <w:p>
      <w:pPr>
        <w:spacing w:after="0" w:line="158"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   Prohibited Transactions</w:t>
      </w:r>
      <w:r>
        <w:rPr>
          <w:rFonts w:ascii="Times New Roman" w:cs="Times New Roman" w:eastAsia="Times New Roman" w:hAnsi="Times New Roman"/>
          <w:sz w:val="16"/>
          <w:szCs w:val="16"/>
          <w:color w:val="auto"/>
        </w:rPr>
        <w:t>.</w:t>
      </w:r>
    </w:p>
    <w:p>
      <w:pPr>
        <w:spacing w:after="0" w:line="214"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Section Individuals who purchase Company securities may not sell any Company securities of the same class for at least six months after the purchase.</w:t>
      </w:r>
    </w:p>
    <w:p>
      <w:pPr>
        <w:spacing w:after="0" w:line="212"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 Individuals may not sell the Company's securities short.</w:t>
      </w:r>
    </w:p>
    <w:p>
      <w:pPr>
        <w:spacing w:after="0" w:line="212"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 Individuals may not buy or sell puts or calls or other derivate securities on the Company's securities.</w:t>
      </w:r>
    </w:p>
    <w:p>
      <w:pPr>
        <w:spacing w:after="0" w:line="212"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 Individuals may not hold Company securities in a margin account or pledge Company securities as collateral for a loan.</w:t>
      </w:r>
    </w:p>
    <w:p>
      <w:pPr>
        <w:spacing w:after="0" w:line="212"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 Individuals may not enter into hedging or monetization transactions or similar arrangements with respect to Company securities.</w:t>
      </w:r>
    </w:p>
    <w:p>
      <w:pPr>
        <w:spacing w:after="0" w:line="2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VI.</w:t>
        <w:tab/>
        <w:t>COMPLIANCE OFFICER</w:t>
      </w:r>
    </w:p>
    <w:p>
      <w:pPr>
        <w:spacing w:after="0" w:line="191" w:lineRule="exact"/>
        <w:rPr>
          <w:sz w:val="20"/>
          <w:szCs w:val="20"/>
          <w:color w:val="auto"/>
        </w:rPr>
      </w:pPr>
    </w:p>
    <w:p>
      <w:pPr>
        <w:ind w:left="420"/>
        <w:spacing w:after="0" w:line="267" w:lineRule="auto"/>
        <w:rPr>
          <w:sz w:val="20"/>
          <w:szCs w:val="20"/>
          <w:color w:val="auto"/>
        </w:rPr>
      </w:pPr>
      <w:r>
        <w:rPr>
          <w:rFonts w:ascii="Times New Roman" w:cs="Times New Roman" w:eastAsia="Times New Roman" w:hAnsi="Times New Roman"/>
          <w:sz w:val="16"/>
          <w:szCs w:val="16"/>
          <w:color w:val="auto"/>
        </w:rPr>
        <w:t>The Company has designated Angela Hu, Director of Finance, as the individual responsible for ensuring compliance with this Policy (the “Compliance Officer”). The duties of the Compliance Officer include the following:</w:t>
      </w:r>
    </w:p>
    <w:p>
      <w:pPr>
        <w:spacing w:after="0" w:line="151" w:lineRule="exact"/>
        <w:rPr>
          <w:sz w:val="20"/>
          <w:szCs w:val="20"/>
          <w:color w:val="auto"/>
        </w:rPr>
      </w:pPr>
    </w:p>
    <w:p>
      <w:pPr>
        <w:ind w:left="840" w:hanging="427"/>
        <w:spacing w:after="0"/>
        <w:tabs>
          <w:tab w:leader="none" w:pos="84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Administering this Policy and monitoring and enforcing compliance with all Policy provisions and procedures.</w:t>
      </w:r>
    </w:p>
    <w:p>
      <w:pPr>
        <w:spacing w:after="0" w:line="212"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Responding to all inquiries relating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338455</wp:posOffset>
            </wp:positionV>
            <wp:extent cx="715073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6" w:name="page117"/>
    <w:bookmarkEnd w:id="116"/>
    <w:p>
      <w:pPr>
        <w:ind w:left="840" w:hanging="427"/>
        <w:spacing w:after="0"/>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Reviewing and either approving or denying all proposed trades by Section 16 Individuals in accordance with the procedures set forth in Section V.C.1 above.</w:t>
      </w:r>
    </w:p>
    <w:p>
      <w:pPr>
        <w:spacing w:after="0" w:line="212" w:lineRule="exact"/>
        <w:rPr>
          <w:rFonts w:ascii="Times New Roman" w:cs="Times New Roman" w:eastAsia="Times New Roman" w:hAnsi="Times New Roman"/>
          <w:sz w:val="16"/>
          <w:szCs w:val="16"/>
          <w:b w:val="1"/>
          <w:bCs w:val="1"/>
          <w:color w:val="auto"/>
        </w:rPr>
      </w:pPr>
    </w:p>
    <w:p>
      <w:pPr>
        <w:ind w:left="840" w:right="460" w:hanging="427"/>
        <w:spacing w:after="0" w:line="267" w:lineRule="auto"/>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After discussing with the blackout assessment team, designating and announcing special trading blackout periods during which certain Insiders may not trade in Company securities.</w:t>
      </w:r>
    </w:p>
    <w:p>
      <w:pPr>
        <w:spacing w:after="0" w:line="150"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Providing copies of this Policy and other appropriate materials to all new Insiders.</w:t>
      </w:r>
    </w:p>
    <w:p>
      <w:pPr>
        <w:spacing w:after="0" w:line="212"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Administering, monitoring and enforcing compliance with all federal and state insider trading laws and regulations.</w:t>
      </w:r>
    </w:p>
    <w:p>
      <w:pPr>
        <w:spacing w:after="0" w:line="212"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Assisting in the preparation and filing of all required SEC reports relating to insider trading in Company securities.</w:t>
      </w:r>
    </w:p>
    <w:p>
      <w:pPr>
        <w:spacing w:after="0" w:line="212" w:lineRule="exact"/>
        <w:rPr>
          <w:rFonts w:ascii="Times New Roman" w:cs="Times New Roman" w:eastAsia="Times New Roman" w:hAnsi="Times New Roman"/>
          <w:sz w:val="16"/>
          <w:szCs w:val="16"/>
          <w:b w:val="1"/>
          <w:bCs w:val="1"/>
          <w:color w:val="auto"/>
        </w:rPr>
      </w:pPr>
    </w:p>
    <w:p>
      <w:pPr>
        <w:ind w:left="840" w:hanging="427"/>
        <w:spacing w:after="0"/>
        <w:tabs>
          <w:tab w:leader="none" w:pos="8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Revising the Policy as necessary to reflect changes in federal or state insider trading laws and regulations, or as otherwise deemed necessary or appropriate.</w:t>
      </w:r>
    </w:p>
    <w:p>
      <w:pPr>
        <w:spacing w:after="0" w:line="213" w:lineRule="exact"/>
        <w:rPr>
          <w:sz w:val="20"/>
          <w:szCs w:val="20"/>
          <w:color w:val="auto"/>
        </w:rPr>
      </w:pPr>
    </w:p>
    <w:p>
      <w:pPr>
        <w:ind w:left="420"/>
        <w:spacing w:after="0" w:line="267" w:lineRule="auto"/>
        <w:rPr>
          <w:sz w:val="20"/>
          <w:szCs w:val="20"/>
          <w:color w:val="auto"/>
        </w:rPr>
      </w:pPr>
      <w:r>
        <w:rPr>
          <w:rFonts w:ascii="Times New Roman" w:cs="Times New Roman" w:eastAsia="Times New Roman" w:hAnsi="Times New Roman"/>
          <w:sz w:val="16"/>
          <w:szCs w:val="16"/>
          <w:color w:val="auto"/>
        </w:rPr>
        <w:t>The Compliance Officer may designate one or more individuals who may perform the Compliance Officer’s duties in the event that the Compliance Officer is unable or unavailable to perform such duties.</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VII.</w:t>
      </w:r>
      <w:r>
        <w:rPr>
          <w:sz w:val="20"/>
          <w:szCs w:val="20"/>
          <w:color w:val="auto"/>
        </w:rPr>
        <w:tab/>
      </w:r>
      <w:r>
        <w:rPr>
          <w:rFonts w:ascii="Times New Roman" w:cs="Times New Roman" w:eastAsia="Times New Roman" w:hAnsi="Times New Roman"/>
          <w:sz w:val="14"/>
          <w:szCs w:val="14"/>
          <w:b w:val="1"/>
          <w:bCs w:val="1"/>
          <w:color w:val="auto"/>
        </w:rPr>
        <w:t>RULE 10b5-1 TRADING PLANS</w:t>
      </w:r>
    </w:p>
    <w:p>
      <w:pPr>
        <w:spacing w:after="0" w:line="189" w:lineRule="exact"/>
        <w:rPr>
          <w:sz w:val="20"/>
          <w:szCs w:val="20"/>
          <w:color w:val="auto"/>
        </w:rPr>
      </w:pPr>
    </w:p>
    <w:p>
      <w:pPr>
        <w:ind w:left="840" w:hanging="427"/>
        <w:spacing w:after="0"/>
        <w:tabs>
          <w:tab w:leader="none" w:pos="84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w:t>
      </w:r>
    </w:p>
    <w:p>
      <w:pPr>
        <w:spacing w:after="0" w:line="215" w:lineRule="exact"/>
        <w:rPr>
          <w:sz w:val="20"/>
          <w:szCs w:val="20"/>
          <w:color w:val="auto"/>
        </w:rPr>
      </w:pPr>
    </w:p>
    <w:p>
      <w:pPr>
        <w:jc w:val="both"/>
        <w:ind w:left="420" w:right="20"/>
        <w:spacing w:after="0" w:line="255" w:lineRule="auto"/>
        <w:rPr>
          <w:sz w:val="20"/>
          <w:szCs w:val="20"/>
          <w:color w:val="auto"/>
        </w:rPr>
      </w:pPr>
      <w:r>
        <w:rPr>
          <w:rFonts w:ascii="Times New Roman" w:cs="Times New Roman" w:eastAsia="Times New Roman" w:hAnsi="Times New Roman"/>
          <w:sz w:val="16"/>
          <w:szCs w:val="16"/>
          <w:color w:val="auto"/>
        </w:rPr>
        <w:t>Under Rule 10b5-1 of the Securities Exchange Act of 1934, an individual has an affirmative defense against an allegation of insider trading if he or she demonstrates that the purchase, sale or trade in question took place pursuant to a binding contract, specific instruction or written plan that was put into place before he or she became aware of material nonpublic information. Such contracts, irrevocable instructions and plans are commonly referred to as Rule 10b5-1 plans.</w:t>
      </w:r>
    </w:p>
    <w:p>
      <w:pPr>
        <w:spacing w:after="0" w:line="160" w:lineRule="exact"/>
        <w:rPr>
          <w:sz w:val="20"/>
          <w:szCs w:val="20"/>
          <w:color w:val="auto"/>
        </w:rPr>
      </w:pPr>
    </w:p>
    <w:p>
      <w:pPr>
        <w:jc w:val="both"/>
        <w:ind w:left="420" w:right="20"/>
        <w:spacing w:after="0" w:line="309" w:lineRule="auto"/>
        <w:rPr>
          <w:sz w:val="20"/>
          <w:szCs w:val="20"/>
          <w:color w:val="auto"/>
        </w:rPr>
      </w:pPr>
      <w:r>
        <w:rPr>
          <w:rFonts w:ascii="Times New Roman" w:cs="Times New Roman" w:eastAsia="Times New Roman" w:hAnsi="Times New Roman"/>
          <w:sz w:val="14"/>
          <w:szCs w:val="14"/>
          <w:color w:val="auto"/>
        </w:rPr>
        <w:t>Rule 10b5-1 plans have the obvious advantage of protecting against insider trading liability. However, they also require advance commitments regarding the amounts, prices and timing of purchases or sales of Company securities and thus limit flexibility and discretion. In addition, once a Rule 10b5-1 plan has been adopted, it is generally not permissible to amend or modify such plan. Accordingly, while some individuals may find Rule 10b5-1 plans attractive, they may not be suitable for all Insiders.</w:t>
      </w:r>
    </w:p>
    <w:p>
      <w:pPr>
        <w:spacing w:after="0" w:line="123" w:lineRule="exact"/>
        <w:rPr>
          <w:sz w:val="20"/>
          <w:szCs w:val="20"/>
          <w:color w:val="auto"/>
        </w:rPr>
      </w:pPr>
    </w:p>
    <w:p>
      <w:pPr>
        <w:ind w:left="840" w:hanging="427"/>
        <w:spacing w:after="0"/>
        <w:tabs>
          <w:tab w:leader="none" w:pos="84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Specific Requirements.</w:t>
      </w:r>
    </w:p>
    <w:p>
      <w:pPr>
        <w:spacing w:after="0" w:line="214" w:lineRule="exact"/>
        <w:rPr>
          <w:rFonts w:ascii="Times New Roman" w:cs="Times New Roman" w:eastAsia="Times New Roman" w:hAnsi="Times New Roman"/>
          <w:sz w:val="16"/>
          <w:szCs w:val="16"/>
          <w:b w:val="1"/>
          <w:bCs w:val="1"/>
          <w:color w:val="auto"/>
        </w:rPr>
      </w:pPr>
    </w:p>
    <w:p>
      <w:pPr>
        <w:ind w:left="1260" w:right="80" w:hanging="426"/>
        <w:spacing w:after="0" w:line="267" w:lineRule="auto"/>
        <w:tabs>
          <w:tab w:leader="none" w:pos="126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Pre-Approval</w:t>
      </w:r>
      <w:r>
        <w:rPr>
          <w:rFonts w:ascii="Times New Roman" w:cs="Times New Roman" w:eastAsia="Times New Roman" w:hAnsi="Times New Roman"/>
          <w:sz w:val="16"/>
          <w:szCs w:val="16"/>
          <w:color w:val="auto"/>
        </w:rPr>
        <w:t>. For a Rule 10b5-1 plan to serve as an adequate defense against an allegation of insider trading, a number of legal requirements must be satisfied. Accordingly, anyone wishing to establish a Rule 10b5-1 plan must first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5073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7" w:name="page118"/>
    <w:bookmarkEnd w:id="117"/>
    <w:p>
      <w:pPr>
        <w:ind w:left="840"/>
        <w:spacing w:after="0" w:line="267" w:lineRule="auto"/>
        <w:rPr>
          <w:sz w:val="20"/>
          <w:szCs w:val="20"/>
          <w:color w:val="auto"/>
        </w:rPr>
      </w:pPr>
      <w:r>
        <w:rPr>
          <w:rFonts w:ascii="Times New Roman" w:cs="Times New Roman" w:eastAsia="Times New Roman" w:hAnsi="Times New Roman"/>
          <w:sz w:val="16"/>
          <w:szCs w:val="16"/>
          <w:color w:val="auto"/>
        </w:rPr>
        <w:t>approval from the Compliance Officer or his or her designee. Section 16 Individuals wanting to establish a Rule 10b5-1 plan must also satisfy the notification and certification requirements set forth in Section V.C.1 above.</w:t>
      </w:r>
    </w:p>
    <w:p>
      <w:pPr>
        <w:spacing w:after="0" w:line="151" w:lineRule="exact"/>
        <w:rPr>
          <w:sz w:val="20"/>
          <w:szCs w:val="20"/>
          <w:color w:val="auto"/>
        </w:rPr>
      </w:pPr>
    </w:p>
    <w:p>
      <w:pPr>
        <w:ind w:left="1260" w:right="20" w:hanging="426"/>
        <w:spacing w:after="0" w:line="267" w:lineRule="auto"/>
        <w:tabs>
          <w:tab w:leader="none" w:pos="12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Nonpublic Information and Special Blackouts</w:t>
      </w:r>
      <w:r>
        <w:rPr>
          <w:rFonts w:ascii="Times New Roman" w:cs="Times New Roman" w:eastAsia="Times New Roman" w:hAnsi="Times New Roman"/>
          <w:sz w:val="16"/>
          <w:szCs w:val="16"/>
          <w:color w:val="auto"/>
        </w:rPr>
        <w:t>. An individual desiring to enter into a Rule 10b5-1 plan must enter into the plan at a time when he or she is not aware of any material nonpublic information about the Company or otherwise subject to a special trading blackout.</w:t>
      </w:r>
    </w:p>
    <w:p>
      <w:pPr>
        <w:spacing w:after="0" w:line="150" w:lineRule="exact"/>
        <w:rPr>
          <w:rFonts w:ascii="Times New Roman" w:cs="Times New Roman" w:eastAsia="Times New Roman" w:hAnsi="Times New Roman"/>
          <w:sz w:val="16"/>
          <w:szCs w:val="16"/>
          <w:color w:val="auto"/>
        </w:rPr>
      </w:pPr>
    </w:p>
    <w:p>
      <w:pPr>
        <w:ind w:left="1260" w:hanging="426"/>
        <w:spacing w:after="0"/>
        <w:tabs>
          <w:tab w:leader="none" w:pos="12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Window</w:t>
      </w:r>
      <w:r>
        <w:rPr>
          <w:rFonts w:ascii="Times New Roman" w:cs="Times New Roman" w:eastAsia="Times New Roman" w:hAnsi="Times New Roman"/>
          <w:sz w:val="16"/>
          <w:szCs w:val="16"/>
          <w:color w:val="auto"/>
        </w:rPr>
        <w:t>. Section 16 Individuals and Key Employees may only establish a Rule 10b5-1 plan when the Company’s trading window is open.</w:t>
      </w:r>
    </w:p>
    <w:p>
      <w:pPr>
        <w:spacing w:after="0" w:line="212" w:lineRule="exact"/>
        <w:rPr>
          <w:rFonts w:ascii="Times New Roman" w:cs="Times New Roman" w:eastAsia="Times New Roman" w:hAnsi="Times New Roman"/>
          <w:sz w:val="16"/>
          <w:szCs w:val="16"/>
          <w:color w:val="auto"/>
        </w:rPr>
      </w:pPr>
    </w:p>
    <w:p>
      <w:pPr>
        <w:ind w:left="1260" w:right="100" w:hanging="426"/>
        <w:spacing w:after="0" w:line="267" w:lineRule="auto"/>
        <w:tabs>
          <w:tab w:leader="none" w:pos="12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30-Day Waiting Period</w:t>
      </w:r>
      <w:r>
        <w:rPr>
          <w:rFonts w:ascii="Times New Roman" w:cs="Times New Roman" w:eastAsia="Times New Roman" w:hAnsi="Times New Roman"/>
          <w:sz w:val="16"/>
          <w:szCs w:val="16"/>
          <w:color w:val="auto"/>
        </w:rPr>
        <w:t>. To avoid even the appearance of impropriety, the Company requires a waiting period of 30 days between the date the Rule 10b5-1 plan is adopted and the date of the first possible transaction under the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VIII. POTENTIAL PENALTIES AND DISCIPLINARY SANCTIONS</w:t>
      </w:r>
    </w:p>
    <w:p>
      <w:pPr>
        <w:spacing w:after="0" w:line="189" w:lineRule="exact"/>
        <w:rPr>
          <w:sz w:val="20"/>
          <w:szCs w:val="20"/>
          <w:color w:val="auto"/>
        </w:rPr>
      </w:pPr>
    </w:p>
    <w:p>
      <w:pPr>
        <w:ind w:left="840" w:hanging="427"/>
        <w:spacing w:after="0"/>
        <w:tabs>
          <w:tab w:leader="none" w:pos="84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Civil and Criminal Penalties.</w:t>
      </w:r>
    </w:p>
    <w:p>
      <w:pPr>
        <w:spacing w:after="0" w:line="215"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6"/>
          <w:szCs w:val="16"/>
          <w:color w:val="auto"/>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or tippee, pay significant civil and/or criminal penalties, and serve a lengthy jail term. The Company in such circumstances may also be required to pay major civil or criminal penalties.</w:t>
      </w:r>
    </w:p>
    <w:p>
      <w:pPr>
        <w:spacing w:after="0" w:line="158" w:lineRule="exact"/>
        <w:rPr>
          <w:sz w:val="20"/>
          <w:szCs w:val="20"/>
          <w:color w:val="auto"/>
        </w:rPr>
      </w:pPr>
    </w:p>
    <w:p>
      <w:pPr>
        <w:ind w:left="840" w:hanging="427"/>
        <w:spacing w:after="0"/>
        <w:tabs>
          <w:tab w:leader="none" w:pos="84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Company Discipline.</w:t>
      </w:r>
    </w:p>
    <w:p>
      <w:pPr>
        <w:spacing w:after="0" w:line="215" w:lineRule="exact"/>
        <w:rPr>
          <w:sz w:val="20"/>
          <w:szCs w:val="20"/>
          <w:color w:val="auto"/>
        </w:rPr>
      </w:pPr>
    </w:p>
    <w:p>
      <w:pPr>
        <w:ind w:left="420" w:right="20"/>
        <w:spacing w:after="0" w:line="267" w:lineRule="auto"/>
        <w:rPr>
          <w:sz w:val="20"/>
          <w:szCs w:val="20"/>
          <w:color w:val="auto"/>
        </w:rPr>
      </w:pPr>
      <w:r>
        <w:rPr>
          <w:rFonts w:ascii="Times New Roman" w:cs="Times New Roman" w:eastAsia="Times New Roman" w:hAnsi="Times New Roman"/>
          <w:sz w:val="16"/>
          <w:szCs w:val="16"/>
          <w:color w:val="auto"/>
        </w:rPr>
        <w:t>Violation of this Policy or federal or state insider trading or tipping laws by any Insider may, in the case of a director, subject the director to removal proceedings and, in the case of an officer or employee, subject the officer or employee to disciplinary action by the Company up to and including termination for cause.</w:t>
      </w:r>
    </w:p>
    <w:p>
      <w:pPr>
        <w:spacing w:after="0" w:line="149" w:lineRule="exact"/>
        <w:rPr>
          <w:sz w:val="20"/>
          <w:szCs w:val="20"/>
          <w:color w:val="auto"/>
        </w:rPr>
      </w:pPr>
    </w:p>
    <w:p>
      <w:pPr>
        <w:ind w:left="840" w:hanging="427"/>
        <w:spacing w:after="0"/>
        <w:tabs>
          <w:tab w:leader="none" w:pos="84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Reporting of Violations.</w:t>
      </w:r>
    </w:p>
    <w:p>
      <w:pPr>
        <w:spacing w:after="0" w:line="215" w:lineRule="exact"/>
        <w:rPr>
          <w:sz w:val="20"/>
          <w:szCs w:val="20"/>
          <w:color w:val="auto"/>
        </w:rPr>
      </w:pPr>
    </w:p>
    <w:p>
      <w:pPr>
        <w:jc w:val="both"/>
        <w:ind w:left="420"/>
        <w:spacing w:after="0" w:line="251" w:lineRule="auto"/>
        <w:rPr>
          <w:sz w:val="20"/>
          <w:szCs w:val="20"/>
          <w:color w:val="auto"/>
        </w:rPr>
      </w:pPr>
      <w:r>
        <w:rPr>
          <w:rFonts w:ascii="Times New Roman" w:cs="Times New Roman" w:eastAsia="Times New Roman" w:hAnsi="Times New Roman"/>
          <w:sz w:val="16"/>
          <w:szCs w:val="16"/>
          <w:color w:val="auto"/>
        </w:rPr>
        <w:t>Any Insider who violates this Policy or any federal or state law governing insider trading or tipping, or knows of any such violation by any other Insider, must report the violation immediately to the Compliance Officer. Upon determining that any such violation has occurred, the Compliance Officer, in consultation with the Company’s Disclosure Committee and, where appropriate, the Chair of the Audit Committee of the Board, will determine whether the Company should release any material nonpublic information, and, when required by applicable law, shall cause the Company to report the violation to the SEC or other appropriate governmental authority.</w:t>
      </w:r>
    </w:p>
    <w:p>
      <w:pPr>
        <w:spacing w:after="0" w:line="1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IX.</w:t>
        <w:tab/>
        <w:t>MISCELLANEOUS</w:t>
      </w:r>
    </w:p>
    <w:p>
      <w:pPr>
        <w:spacing w:after="0" w:line="191"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6"/>
          <w:szCs w:val="16"/>
          <w:color w:val="auto"/>
        </w:rPr>
        <w:t>This Policy will be delivered to all directors, officers, employees and designated outsiders upon its adoption by the Company and to all new directors, officers, employees and designated outsiders at the start of their employment or relationship with the Company. Upon first receiving a copy of this Policy or any revised versions, each Section 16 Individual and Key Employee must sign an acknowledgment that he or she has received a copy of this Policy and agrees to comply with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423545</wp:posOffset>
            </wp:positionV>
            <wp:extent cx="715073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ACKNOWLEDGMENT AND CERTIFICATION</w:t>
      </w:r>
    </w:p>
    <w:p>
      <w:pPr>
        <w:spacing w:after="0" w:line="191"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6"/>
          <w:szCs w:val="16"/>
          <w:color w:val="auto"/>
        </w:rPr>
        <w:t>The undersigned does hereby acknowledge receipt of the Company's Insider Trading Policy. The undersigned has read and understands such Insider Trading Policy and agrees to be governed by such Insider Trading Policy at all times in connection with the purchase and sale of securities and the confidentiality of non-public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2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371983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371983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1035050</wp:posOffset>
            </wp:positionV>
            <wp:extent cx="715073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19" w:name="page120"/>
    <w:bookmarkEnd w:id="119"/>
    <w:p>
      <w:pPr>
        <w:jc w:val="center"/>
        <w:ind w:right="-1140"/>
        <w:spacing w:after="0"/>
        <w:rPr>
          <w:sz w:val="20"/>
          <w:szCs w:val="20"/>
          <w:color w:val="auto"/>
        </w:rPr>
      </w:pPr>
      <w:r>
        <w:rPr>
          <w:rFonts w:ascii="Times New Roman" w:cs="Times New Roman" w:eastAsia="Times New Roman" w:hAnsi="Times New Roman"/>
          <w:sz w:val="16"/>
          <w:szCs w:val="16"/>
          <w:color w:val="auto"/>
        </w:rPr>
        <w:t>EXHIBIT A</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Section 16 Individuals and Key Employees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16 Individuals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Simard, CEO and President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Sushma Shivaswamy, Chief Scientific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Hu, Director of Finance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Craig Rademaker, Board 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Kündig, Board 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Tevi Troy, Board 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Soffer, Board 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Key Employees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Norma I. Gonzalez</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Qian Wu</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C. Cavalier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Triveni H. Pallapotu</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Tzu-Yu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906145</wp:posOffset>
            </wp:positionV>
            <wp:extent cx="715073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120" w:name="page121"/>
    <w:bookmarkEnd w:id="120"/>
    <w:p>
      <w:pPr>
        <w:jc w:val="center"/>
        <w:ind w:right="80"/>
        <w:spacing w:after="0"/>
        <w:rPr>
          <w:sz w:val="20"/>
          <w:szCs w:val="20"/>
          <w:color w:val="auto"/>
        </w:rPr>
      </w:pPr>
      <w:r>
        <w:rPr>
          <w:rFonts w:ascii="Times New Roman" w:cs="Times New Roman" w:eastAsia="Times New Roman" w:hAnsi="Times New Roman"/>
          <w:sz w:val="16"/>
          <w:szCs w:val="16"/>
          <w:color w:val="auto"/>
        </w:rPr>
        <w:t>EXHIBIT B</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XBIOTECH INC.</w:t>
      </w:r>
    </w:p>
    <w:p>
      <w:pPr>
        <w:spacing w:after="0" w:line="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INSIDER TRADING POLICY</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Notice and Certification for Section 16 Individuals and Key Employees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Compliance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hereby notify you of my intent to trade in securities of XBiotech Inc. (the "Company"). The amount and nature of the proposed trade is as follows:</w:t>
      </w:r>
    </w:p>
    <w:p>
      <w:pPr>
        <w:spacing w:after="0" w:line="189" w:lineRule="exact"/>
        <w:rPr>
          <w:sz w:val="20"/>
          <w:szCs w:val="20"/>
          <w:color w:val="auto"/>
        </w:rPr>
      </w:pPr>
    </w:p>
    <w:p>
      <w:pPr>
        <w:ind w:left="840" w:hanging="427"/>
        <w:spacing w:after="0"/>
        <w:tabs>
          <w:tab w:leader="none" w:pos="840" w:val="left"/>
        </w:tabs>
        <w:numPr>
          <w:ilvl w:val="0"/>
          <w:numId w:val="1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Exercise _______________ stock options granted under the 2015 Incentive Stock Option Plan or the 2025 Equity Incentive Plan _____________________;</w:t>
      </w:r>
    </w:p>
    <w:p>
      <w:pPr>
        <w:spacing w:after="0" w:line="189" w:lineRule="exact"/>
        <w:rPr>
          <w:rFonts w:ascii="MS PGothic" w:cs="MS PGothic" w:eastAsia="MS PGothic" w:hAnsi="MS PGothic"/>
          <w:sz w:val="16"/>
          <w:szCs w:val="16"/>
          <w:color w:val="auto"/>
        </w:rPr>
      </w:pPr>
    </w:p>
    <w:p>
      <w:pPr>
        <w:ind w:left="840" w:right="340" w:hanging="427"/>
        <w:spacing w:after="0" w:line="267" w:lineRule="auto"/>
        <w:tabs>
          <w:tab w:leader="none" w:pos="840" w:val="left"/>
        </w:tabs>
        <w:numPr>
          <w:ilvl w:val="0"/>
          <w:numId w:val="1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on Sell in the open market ___________ shares of Company Common Stock currently held at _______________ (example: Fidelity; another broker; in certificated form); market</w:t>
      </w:r>
    </w:p>
    <w:p>
      <w:pPr>
        <w:spacing w:after="0" w:line="150" w:lineRule="exact"/>
        <w:rPr>
          <w:rFonts w:ascii="MS PGothic" w:cs="MS PGothic" w:eastAsia="MS PGothic" w:hAnsi="MS PGothic"/>
          <w:sz w:val="16"/>
          <w:szCs w:val="16"/>
          <w:color w:val="auto"/>
        </w:rPr>
      </w:pPr>
    </w:p>
    <w:p>
      <w:pPr>
        <w:ind w:left="840" w:hanging="427"/>
        <w:spacing w:after="0"/>
        <w:tabs>
          <w:tab w:leader="none" w:pos="840" w:val="left"/>
        </w:tabs>
        <w:numPr>
          <w:ilvl w:val="0"/>
          <w:numId w:val="1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Purchase in the open market _____________ shares of Company Common Stock;</w:t>
      </w:r>
    </w:p>
    <w:p>
      <w:pPr>
        <w:spacing w:after="0" w:line="189" w:lineRule="exact"/>
        <w:rPr>
          <w:rFonts w:ascii="MS PGothic" w:cs="MS PGothic" w:eastAsia="MS PGothic" w:hAnsi="MS PGothic"/>
          <w:sz w:val="16"/>
          <w:szCs w:val="16"/>
          <w:color w:val="auto"/>
        </w:rPr>
      </w:pPr>
    </w:p>
    <w:p>
      <w:pPr>
        <w:ind w:left="840" w:hanging="427"/>
        <w:spacing w:after="0"/>
        <w:tabs>
          <w:tab w:leader="none" w:pos="840" w:val="left"/>
        </w:tabs>
        <w:numPr>
          <w:ilvl w:val="0"/>
          <w:numId w:val="1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Gift _______ shares of Company Common Stock to _______________________________;</w:t>
      </w:r>
    </w:p>
    <w:p>
      <w:pPr>
        <w:spacing w:after="0" w:line="189" w:lineRule="exact"/>
        <w:rPr>
          <w:rFonts w:ascii="MS PGothic" w:cs="MS PGothic" w:eastAsia="MS PGothic" w:hAnsi="MS PGothic"/>
          <w:sz w:val="16"/>
          <w:szCs w:val="16"/>
          <w:color w:val="auto"/>
        </w:rPr>
      </w:pPr>
    </w:p>
    <w:p>
      <w:pPr>
        <w:ind w:left="840" w:hanging="427"/>
        <w:spacing w:after="0"/>
        <w:tabs>
          <w:tab w:leader="none" w:pos="840" w:val="left"/>
        </w:tabs>
        <w:numPr>
          <w:ilvl w:val="0"/>
          <w:numId w:val="1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Adopt a Rule 10b5-1 plan to sell ______ shares granted on __________________________;</w:t>
      </w:r>
    </w:p>
    <w:p>
      <w:pPr>
        <w:spacing w:after="0" w:line="156" w:lineRule="exact"/>
        <w:rPr>
          <w:sz w:val="20"/>
          <w:szCs w:val="20"/>
          <w:color w:val="auto"/>
        </w:rPr>
      </w:pPr>
    </w:p>
    <w:p>
      <w:pPr>
        <w:ind w:left="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Other (explain)</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_______________________________________________________________________________________________________________________________________________.</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I understand that I am not authorized to trade in Company Securities or adopt a Rule 10b5-1 plan in reliance upon this Notice and Certification until</w:t>
            </w:r>
          </w:p>
        </w:tc>
        <w:tc>
          <w:tcPr>
            <w:tcW w:w="400" w:type="dxa"/>
            <w:vAlign w:val="bottom"/>
            <w:tcBorders>
              <w:bottom w:val="single" w:sz="8" w:color="auto"/>
            </w:tcBorders>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(insert the date that is</w:t>
            </w:r>
          </w:p>
        </w:tc>
      </w:tr>
      <w:tr>
        <w:trPr>
          <w:trHeight w:val="167"/>
        </w:trPr>
        <w:tc>
          <w:tcPr>
            <w:tcW w:w="55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four business days after the date hereof), and that such authorization will continue until</w:t>
            </w:r>
          </w:p>
        </w:tc>
        <w:tc>
          <w:tcPr>
            <w:tcW w:w="380" w:type="dxa"/>
            <w:vAlign w:val="bottom"/>
            <w:tcBorders>
              <w:bottom w:val="single" w:sz="8" w:color="auto"/>
            </w:tcBorders>
          </w:tcPr>
          <w:p>
            <w:pPr>
              <w:spacing w:after="0"/>
              <w:rPr>
                <w:sz w:val="14"/>
                <w:szCs w:val="14"/>
                <w:color w:val="auto"/>
              </w:rPr>
            </w:pPr>
          </w:p>
        </w:tc>
        <w:tc>
          <w:tcPr>
            <w:tcW w:w="538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w w:val="98"/>
              </w:rPr>
              <w:t>(insert the date that is eight business days after the date hereof). I understand that if I</w:t>
            </w:r>
          </w:p>
        </w:tc>
      </w:tr>
    </w:tbl>
    <w:p>
      <w:pPr>
        <w:spacing w:after="0" w:line="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6"/>
          <w:szCs w:val="16"/>
          <w:color w:val="auto"/>
        </w:rPr>
        <w:t>have not completed my proposed trade or adopted my Rule 10b5-1 plan by the last date of the authorization period set forth in the immediately preceding sentence, I must submit a new Notice and Certification in order to trade in Company securities or adopt a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hereby certify that I am not aware of material nonpublic information concerning the Company.</w:t>
      </w:r>
    </w:p>
    <w:p>
      <w:pPr>
        <w:spacing w:after="0" w:line="189"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12065</wp:posOffset>
            </wp:positionV>
            <wp:extent cx="685419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6854190" cy="7620"/>
                    </a:xfrm>
                    <a:prstGeom prst="rect">
                      <a:avLst/>
                    </a:prstGeom>
                    <a:noFill/>
                  </pic:spPr>
                </pic:pic>
              </a:graphicData>
            </a:graphic>
          </wp:anchor>
        </w:drawing>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12065</wp:posOffset>
            </wp:positionV>
            <wp:extent cx="308292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3082925" cy="7620"/>
                    </a:xfrm>
                    <a:prstGeom prst="rect">
                      <a:avLst/>
                    </a:prstGeom>
                    <a:noFill/>
                  </pic:spPr>
                </pic:pic>
              </a:graphicData>
            </a:graphic>
          </wp:anchor>
        </w:drawing>
      </w: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To be completed by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12065</wp:posOffset>
            </wp:positionV>
            <wp:extent cx="23787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23787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12065</wp:posOffset>
            </wp:positionV>
            <wp:extent cx="23787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2378710" cy="7620"/>
                    </a:xfrm>
                    <a:prstGeom prst="rect">
                      <a:avLst/>
                    </a:prstGeom>
                    <a:noFill/>
                  </pic:spPr>
                </pic:pic>
              </a:graphicData>
            </a:graphic>
          </wp:anchor>
        </w:drawing>
      </w:r>
    </w:p>
    <w:p>
      <w:pPr>
        <w:sectPr>
          <w:pgSz w:w="11900" w:h="16838" w:orient="portrait"/>
          <w:cols w:equalWidth="0" w:num="1">
            <w:col w:w="11340"/>
          </w:cols>
          <w:pgMar w:left="320" w:top="520"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LIST OF SUBSIDIARIES</w:t>
      </w:r>
    </w:p>
    <w:p>
      <w:pPr>
        <w:sectPr>
          <w:pgSz w:w="11900" w:h="16838" w:orient="portrait"/>
          <w:cols w:equalWidth="0" w:num="1">
            <w:col w:w="11260"/>
          </w:cols>
          <w:pgMar w:left="320" w:top="121" w:right="31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4"/>
          <w:szCs w:val="14"/>
          <w:color w:val="auto"/>
        </w:rPr>
        <w:t>Country</w:t>
      </w:r>
    </w:p>
    <w:p>
      <w:pPr>
        <w:spacing w:after="0" w:line="200" w:lineRule="exact"/>
        <w:rPr>
          <w:sz w:val="20"/>
          <w:szCs w:val="20"/>
          <w:color w:val="auto"/>
        </w:rPr>
      </w:pPr>
    </w:p>
    <w:p>
      <w:pPr>
        <w:sectPr>
          <w:pgSz w:w="11900" w:h="16838" w:orient="portrait"/>
          <w:cols w:equalWidth="0" w:num="2">
            <w:col w:w="5020" w:space="720"/>
            <w:col w:w="5520"/>
          </w:cols>
          <w:pgMar w:left="320" w:top="121" w:right="3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XBiotech USA,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0" w:lineRule="exact"/>
        <w:rPr>
          <w:sz w:val="20"/>
          <w:szCs w:val="20"/>
          <w:color w:val="auto"/>
        </w:rPr>
      </w:pPr>
      <w:r>
        <w:rPr>
          <w:sz w:val="20"/>
          <w:szCs w:val="20"/>
          <w:color w:val="auto"/>
        </w:rPr>
        <w:br w:type="column"/>
      </w:r>
    </w:p>
    <w:p>
      <w:pPr>
        <w:jc w:val="center"/>
        <w:ind w:right="4680"/>
        <w:spacing w:after="0"/>
        <w:rPr>
          <w:sz w:val="20"/>
          <w:szCs w:val="20"/>
          <w:color w:val="auto"/>
        </w:rPr>
      </w:pPr>
      <w:r>
        <w:rPr>
          <w:rFonts w:ascii="Times New Roman" w:cs="Times New Roman" w:eastAsia="Times New Roman" w:hAnsi="Times New Roman"/>
          <w:sz w:val="14"/>
          <w:szCs w:val="14"/>
          <w:color w:val="auto"/>
        </w:rPr>
        <w:t>United States</w:t>
      </w:r>
    </w:p>
    <w:p>
      <w:pPr>
        <w:sectPr>
          <w:pgSz w:w="11900" w:h="16838" w:orient="portrait"/>
          <w:cols w:equalWidth="0" w:num="2">
            <w:col w:w="5020" w:space="720"/>
            <w:col w:w="5520"/>
          </w:cols>
          <w:pgMar w:left="320" w:top="121" w:right="31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 S-8 (File Nos. 333-207476, 333-249288 and 333-294218) of our report dated March 13, 2026 relating to the consolidated financial statements of XBiotech Inc. and its subsidiary appearing in this Annual Report on Form 10-K of XBiotech Inc. and its subsidiary for the year ended December 31,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Whitley Penn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Austin, Texas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13, 2026</w:t>
      </w:r>
    </w:p>
    <w:p>
      <w:pPr>
        <w:sectPr>
          <w:pgSz w:w="11900" w:h="16838" w:orient="portrait"/>
          <w:cols w:equalWidth="0" w:num="1">
            <w:col w:w="11260"/>
          </w:cols>
          <w:pgMar w:left="320" w:top="121"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9"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Sushma Shivaswamy, certify that:</w:t>
      </w:r>
    </w:p>
    <w:p>
      <w:pPr>
        <w:spacing w:after="0" w:line="189" w:lineRule="exact"/>
        <w:rPr>
          <w:sz w:val="20"/>
          <w:szCs w:val="20"/>
          <w:color w:val="auto"/>
        </w:rPr>
      </w:pPr>
    </w:p>
    <w:p>
      <w:pPr>
        <w:ind w:left="147" w:hanging="147"/>
        <w:spacing w:after="0"/>
        <w:tabs>
          <w:tab w:leader="none" w:pos="14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XBiotech Inc.;</w:t>
      </w:r>
    </w:p>
    <w:p>
      <w:pPr>
        <w:spacing w:after="0" w:line="189" w:lineRule="exact"/>
        <w:rPr>
          <w:rFonts w:ascii="Times New Roman" w:cs="Times New Roman" w:eastAsia="Times New Roman" w:hAnsi="Times New Roman"/>
          <w:sz w:val="16"/>
          <w:szCs w:val="16"/>
          <w:color w:val="auto"/>
        </w:rPr>
      </w:pPr>
    </w:p>
    <w:p>
      <w:pPr>
        <w:ind w:left="7" w:right="80" w:hanging="7"/>
        <w:spacing w:after="0" w:line="267" w:lineRule="auto"/>
        <w:tabs>
          <w:tab w:leader="none" w:pos="16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7" w:right="180" w:hanging="7"/>
        <w:spacing w:after="0" w:line="267" w:lineRule="auto"/>
        <w:tabs>
          <w:tab w:leader="none" w:pos="16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41" w:lineRule="exact"/>
        <w:rPr>
          <w:rFonts w:ascii="Times New Roman" w:cs="Times New Roman" w:eastAsia="Times New Roman" w:hAnsi="Times New Roman"/>
          <w:sz w:val="14"/>
          <w:szCs w:val="14"/>
          <w:color w:val="auto"/>
        </w:rPr>
      </w:pPr>
    </w:p>
    <w:p>
      <w:pPr>
        <w:ind w:left="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4"/>
          <w:szCs w:val="14"/>
          <w:color w:val="auto"/>
        </w:rPr>
      </w:pPr>
    </w:p>
    <w:p>
      <w:pPr>
        <w:jc w:val="both"/>
        <w:ind w:left="847" w:right="340" w:hanging="427"/>
        <w:spacing w:after="0" w:line="255"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847" w:right="380" w:hanging="427"/>
        <w:spacing w:after="0" w:line="255"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847" w:right="140" w:hanging="427"/>
        <w:spacing w:after="0" w:line="267"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847" w:right="100" w:hanging="427"/>
        <w:spacing w:after="0" w:line="255"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 w:right="240" w:hanging="7"/>
        <w:spacing w:after="0" w:line="267" w:lineRule="auto"/>
        <w:tabs>
          <w:tab w:leader="none" w:pos="16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847" w:right="320" w:hanging="427"/>
        <w:spacing w:after="0" w:line="267"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847" w:right="600" w:hanging="427"/>
        <w:spacing w:after="0" w:line="267" w:lineRule="auto"/>
        <w:tabs>
          <w:tab w:leader="none" w:pos="8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Date:  March 13, 2026</w:t>
      </w:r>
    </w:p>
    <w:p>
      <w:pPr>
        <w:spacing w:after="0" w:line="187"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b w:val="1"/>
          <w:bCs w:val="1"/>
          <w:u w:val="single" w:color="auto"/>
          <w:color w:val="auto"/>
        </w:rPr>
        <w:t>/s/ Sushma Shivaswamy</w:t>
      </w:r>
    </w:p>
    <w:p>
      <w:pPr>
        <w:spacing w:after="0" w:line="21"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7"/>
          </w:cols>
          <w:pgMar w:left="313" w:top="121"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9"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Angela Hu, certify that:</w:t>
      </w:r>
    </w:p>
    <w:p>
      <w:pPr>
        <w:spacing w:after="0" w:line="189" w:lineRule="exact"/>
        <w:rPr>
          <w:sz w:val="20"/>
          <w:szCs w:val="20"/>
          <w:color w:val="auto"/>
        </w:rPr>
      </w:pPr>
    </w:p>
    <w:p>
      <w:pPr>
        <w:ind w:left="147" w:hanging="147"/>
        <w:spacing w:after="0"/>
        <w:tabs>
          <w:tab w:leader="none" w:pos="14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XBiotech Inc.;</w:t>
      </w:r>
    </w:p>
    <w:p>
      <w:pPr>
        <w:spacing w:after="0" w:line="189" w:lineRule="exact"/>
        <w:rPr>
          <w:rFonts w:ascii="Times New Roman" w:cs="Times New Roman" w:eastAsia="Times New Roman" w:hAnsi="Times New Roman"/>
          <w:sz w:val="16"/>
          <w:szCs w:val="16"/>
          <w:color w:val="auto"/>
        </w:rPr>
      </w:pPr>
    </w:p>
    <w:p>
      <w:pPr>
        <w:ind w:left="7" w:right="80" w:hanging="7"/>
        <w:spacing w:after="0" w:line="267" w:lineRule="auto"/>
        <w:tabs>
          <w:tab w:leader="none" w:pos="16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7" w:right="180" w:hanging="7"/>
        <w:spacing w:after="0" w:line="267" w:lineRule="auto"/>
        <w:tabs>
          <w:tab w:leader="none" w:pos="16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41" w:lineRule="exact"/>
        <w:rPr>
          <w:rFonts w:ascii="Times New Roman" w:cs="Times New Roman" w:eastAsia="Times New Roman" w:hAnsi="Times New Roman"/>
          <w:sz w:val="14"/>
          <w:szCs w:val="14"/>
          <w:color w:val="auto"/>
        </w:rPr>
      </w:pPr>
    </w:p>
    <w:p>
      <w:pPr>
        <w:ind w:left="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4"/>
          <w:szCs w:val="14"/>
          <w:color w:val="auto"/>
        </w:rPr>
      </w:pPr>
    </w:p>
    <w:p>
      <w:pPr>
        <w:jc w:val="both"/>
        <w:ind w:left="847" w:right="340" w:hanging="427"/>
        <w:spacing w:after="0" w:line="255"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847" w:right="380" w:hanging="427"/>
        <w:spacing w:after="0" w:line="255"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847" w:right="140" w:hanging="427"/>
        <w:spacing w:after="0" w:line="267"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847" w:right="100" w:hanging="427"/>
        <w:spacing w:after="0" w:line="255"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 w:right="240" w:hanging="7"/>
        <w:spacing w:after="0" w:line="267" w:lineRule="auto"/>
        <w:tabs>
          <w:tab w:leader="none" w:pos="16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847" w:right="320" w:hanging="427"/>
        <w:spacing w:after="0" w:line="267"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847" w:right="600" w:hanging="427"/>
        <w:spacing w:after="0" w:line="267" w:lineRule="auto"/>
        <w:tabs>
          <w:tab w:leader="none" w:pos="84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Date: March 13, 2026</w:t>
      </w:r>
    </w:p>
    <w:p>
      <w:pPr>
        <w:spacing w:after="0" w:line="187"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b w:val="1"/>
          <w:bCs w:val="1"/>
          <w:u w:val="single" w:color="auto"/>
          <w:color w:val="auto"/>
        </w:rPr>
        <w:t>/s/Angela Hu</w:t>
      </w:r>
    </w:p>
    <w:p>
      <w:pPr>
        <w:spacing w:after="0" w:line="21"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Angela Hu</w:t>
      </w:r>
    </w:p>
    <w:p>
      <w:pPr>
        <w:spacing w:after="0" w:line="3"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Director of Finance</w:t>
      </w:r>
    </w:p>
    <w:p>
      <w:pPr>
        <w:spacing w:after="0" w:line="3" w:lineRule="exact"/>
        <w:rPr>
          <w:sz w:val="20"/>
          <w:szCs w:val="20"/>
          <w:color w:val="auto"/>
        </w:rPr>
      </w:pPr>
    </w:p>
    <w:p>
      <w:pPr>
        <w:ind w:left="6767"/>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7"/>
          </w:cols>
          <w:pgMar w:left="313" w:top="121"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jc w:val="both"/>
        <w:ind w:right="80" w:firstLine="56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XBiotech Inc. on Form 10-K for the period ended December 31, 2025 as filed with the Securities and Exchange Commission on the date hereof (the “Report”), I, Sushma Shivaswamy, Chief Executive Officer of the Company, certify, pursuant to 18 U.S.C. §1350, as adopted pursuant to §906 of the Sarbanes-Oxley Act of 2002, that to the best of my knowledge:</w:t>
      </w:r>
    </w:p>
    <w:p>
      <w:pPr>
        <w:spacing w:after="0" w:line="160" w:lineRule="exact"/>
        <w:rPr>
          <w:sz w:val="20"/>
          <w:szCs w:val="20"/>
          <w:color w:val="auto"/>
        </w:rPr>
      </w:pPr>
    </w:p>
    <w:p>
      <w:pPr>
        <w:ind w:left="780" w:hanging="226"/>
        <w:spacing w:after="0"/>
        <w:tabs>
          <w:tab w:leader="none" w:pos="7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XBiotech Inc.</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 xml:space="preserve">/s/ </w:t>
      </w:r>
      <w:r>
        <w:rPr>
          <w:rFonts w:ascii="Times New Roman" w:cs="Times New Roman" w:eastAsia="Times New Roman" w:hAnsi="Times New Roman"/>
          <w:sz w:val="16"/>
          <w:szCs w:val="16"/>
          <w:b w:val="1"/>
          <w:bCs w:val="1"/>
          <w:u w:val="single" w:color="auto"/>
          <w:color w:val="auto"/>
        </w:rPr>
        <w:t>Sushma Shivaswamy</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Sushma Shivaswamy</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Date: March 13, 2026</w:t>
      </w:r>
    </w:p>
    <w:p>
      <w:pPr>
        <w:sectPr>
          <w:pgSz w:w="11900" w:h="16838" w:orient="portrait"/>
          <w:cols w:equalWidth="0" w:num="1">
            <w:col w:w="11260"/>
          </w:cols>
          <w:pgMar w:left="320" w:top="121"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ind w:right="160" w:firstLine="56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XBiotech Inc. on Form 10-K for the period ended December 31, 2025 as filed with the Securities and Exchange Commission on the date hereof (the “Report”), I, Angela Hu, Principal Financial Officer and Principal Accounting Officer of the Company, certify, pursuant to 18 U.S.C. §1350, as adopted pursuant to §906 of the Sarbanes-Oxley Act of 2002, that to the best of my knowledge:</w:t>
      </w:r>
    </w:p>
    <w:p>
      <w:pPr>
        <w:spacing w:after="0" w:line="160" w:lineRule="exact"/>
        <w:rPr>
          <w:sz w:val="20"/>
          <w:szCs w:val="20"/>
          <w:color w:val="auto"/>
        </w:rPr>
      </w:pPr>
    </w:p>
    <w:p>
      <w:pPr>
        <w:ind w:left="780" w:hanging="226"/>
        <w:spacing w:after="0"/>
        <w:tabs>
          <w:tab w:leader="none" w:pos="7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XBiotech Inc.</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u w:val="single" w:color="auto"/>
          <w:color w:val="auto"/>
        </w:rPr>
        <w:t>/s/ Angela Hu</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Angela Hu</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Director of Finance</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Date: March 13, 2026</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lvl w:ilvl="1">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lowerRoman"/>
      <w:start w:val="1"/>
    </w:lvl>
  </w:abstractNum>
  <w:abstractNum w:abstractNumId="31">
    <w:nsid w:val="540A471C"/>
    <w:multiLevelType w:val="hybridMultilevel"/>
    <w:lvl w:ilvl="0">
      <w:lvlJc w:val="left"/>
      <w:lvlText w:val="%1."/>
      <w:numFmt w:val="decimal"/>
      <w:start w:val="2"/>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1)"/>
      <w:numFmt w:val="decimal"/>
      <w:start w:val="1"/>
    </w:lvl>
    <w:lvl w:ilvl="1">
      <w:lvlJc w:val="left"/>
      <w:lvlText w:val="(%2)"/>
      <w:numFmt w:val="lowerLetter"/>
      <w:start w:val="1"/>
    </w:lvl>
  </w:abstractNum>
  <w:abstractNum w:abstractNumId="38">
    <w:nsid w:val="A0382C5"/>
    <w:multiLevelType w:val="hybridMultilevel"/>
    <w:lvl w:ilvl="0">
      <w:lvlJc w:val="left"/>
      <w:lvlText w:val="(%1)"/>
      <w:numFmt w:val="decimal"/>
      <w:start w:val="2"/>
    </w:lvl>
    <w:lvl w:ilvl="1">
      <w:lvlJc w:val="left"/>
      <w:lvlText w:val="(%2)"/>
      <w:numFmt w:val="lowerLetter"/>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6"/>
    </w:lvl>
    <w:lvl w:ilvl="1">
      <w:lvlJc w:val="left"/>
      <w:lvlText w:val="%2."/>
      <w:numFmt w:val="lowerLetter"/>
      <w:start w:val="1"/>
    </w:lvl>
  </w:abstractNum>
  <w:abstractNum w:abstractNumId="43">
    <w:nsid w:val="4962813B"/>
    <w:multiLevelType w:val="hybridMultilevel"/>
    <w:lvl w:ilvl="0">
      <w:lvlJc w:val="left"/>
      <w:lvlText w:val="%1"/>
      <w:numFmt w:val="decimal"/>
      <w:start w:val="1"/>
    </w:lvl>
    <w:lvl w:ilvl="1">
      <w:lvlJc w:val="left"/>
      <w:lvlText w:val="%2."/>
      <w:numFmt w:val="lowerLetter"/>
      <w:start w:val="2"/>
    </w:lvl>
  </w:abstractNum>
  <w:abstractNum w:abstractNumId="44">
    <w:nsid w:val="60B6DF70"/>
    <w:multiLevelType w:val="hybridMultilevel"/>
    <w:lvl w:ilvl="0">
      <w:lvlJc w:val="left"/>
      <w:lvlText w:val="%1."/>
      <w:numFmt w:val="decimal"/>
      <w:start w:val="14"/>
    </w:lvl>
    <w:lvl w:ilvl="1">
      <w:lvlJc w:val="left"/>
      <w:lvlText w:val="%2"/>
      <w:numFmt w:val="lowerLetter"/>
      <w:start w:val="1"/>
    </w:lvl>
  </w:abstractNum>
  <w:abstractNum w:abstractNumId="45">
    <w:nsid w:val="6A5EE64"/>
    <w:multiLevelType w:val="hybridMultilevel"/>
    <w:lvl w:ilvl="0">
      <w:lvlJc w:val="left"/>
      <w:lvlText w:val="%1."/>
      <w:numFmt w:val="decimal"/>
      <w:start w:val="17"/>
    </w:lvl>
  </w:abstractNum>
  <w:abstractNum w:abstractNumId="46">
    <w:nsid w:val="14330624"/>
    <w:multiLevelType w:val="hybridMultilevel"/>
    <w:lvl w:ilvl="0">
      <w:lvlJc w:val="left"/>
      <w:lvlText w:val="%1."/>
      <w:numFmt w:val="decimal"/>
      <w:start w:val="19"/>
    </w:lvl>
  </w:abstractNum>
  <w:abstractNum w:abstractNumId="47">
    <w:nsid w:val="7FFFCA11"/>
    <w:multiLevelType w:val="hybridMultilevel"/>
    <w:lvl w:ilvl="0">
      <w:lvlJc w:val="left"/>
      <w:lvlText w:val="%1."/>
      <w:numFmt w:val="decimal"/>
      <w:start w:val="1"/>
    </w:lvl>
    <w:lvl w:ilvl="1">
      <w:lvlJc w:val="left"/>
      <w:lvlText w:val="%2."/>
      <w:numFmt w:val="lowerLetter"/>
      <w:start w:val="1"/>
    </w:lvl>
  </w:abstractNum>
  <w:abstractNum w:abstractNumId="48">
    <w:nsid w:val="1A27709E"/>
    <w:multiLevelType w:val="hybridMultilevel"/>
    <w:lvl w:ilvl="0">
      <w:lvlJc w:val="left"/>
      <w:lvlText w:val="%1."/>
      <w:numFmt w:val="decimal"/>
      <w:start w:val="2"/>
    </w:lvl>
    <w:lvl w:ilvl="1">
      <w:lvlJc w:val="left"/>
      <w:lvlText w:val="%2."/>
      <w:numFmt w:val="lowerLetter"/>
      <w:start w:val="1"/>
    </w:lvl>
  </w:abstractNum>
  <w:abstractNum w:abstractNumId="49">
    <w:nsid w:val="71EA1109"/>
    <w:multiLevelType w:val="hybridMultilevel"/>
    <w:lvl w:ilvl="0">
      <w:lvlJc w:val="left"/>
      <w:lvlText w:val="%1."/>
      <w:numFmt w:val="lowerLetter"/>
      <w:start w:val="2"/>
    </w:lvl>
  </w:abstractNum>
  <w:abstractNum w:abstractNumId="50">
    <w:nsid w:val="100F59DC"/>
    <w:multiLevelType w:val="hybridMultilevel"/>
    <w:lvl w:ilvl="0">
      <w:lvlJc w:val="left"/>
      <w:lvlText w:val="%1"/>
      <w:numFmt w:val="decimal"/>
      <w:start w:val="1"/>
    </w:lvl>
    <w:lvl w:ilvl="1">
      <w:lvlJc w:val="left"/>
      <w:lvlText w:val="%2."/>
      <w:numFmt w:val="lowerLetter"/>
      <w:start w:val="7"/>
    </w:lvl>
  </w:abstractNum>
  <w:abstractNum w:abstractNumId="51">
    <w:nsid w:val="7FB7E0AA"/>
    <w:multiLevelType w:val="hybridMultilevel"/>
    <w:lvl w:ilvl="0">
      <w:lvlJc w:val="left"/>
      <w:lvlText w:val="%1."/>
      <w:numFmt w:val="decimal"/>
      <w:start w:val="6"/>
    </w:lvl>
    <w:lvl w:ilvl="1">
      <w:lvlJc w:val="left"/>
      <w:lvlText w:val="%2."/>
      <w:numFmt w:val="lowerLetter"/>
      <w:start w:val="1"/>
    </w:lvl>
  </w:abstractNum>
  <w:abstractNum w:abstractNumId="52">
    <w:nsid w:val="6EB5BD4"/>
    <w:multiLevelType w:val="hybridMultilevel"/>
    <w:lvl w:ilvl="0">
      <w:lvlJc w:val="left"/>
      <w:lvlText w:val="%1."/>
      <w:numFmt w:val="decimal"/>
      <w:start w:val="9"/>
    </w:lvl>
  </w:abstractNum>
  <w:abstractNum w:abstractNumId="53">
    <w:nsid w:val="6F6DD9AC"/>
    <w:multiLevelType w:val="hybridMultilevel"/>
    <w:lvl w:ilvl="0">
      <w:lvlJc w:val="left"/>
      <w:lvlText w:val="%1."/>
      <w:numFmt w:val="decimal"/>
      <w:start w:val="1"/>
    </w:lvl>
  </w:abstractNum>
  <w:abstractNum w:abstractNumId="54">
    <w:nsid w:val="94211F2"/>
    <w:multiLevelType w:val="hybridMultilevel"/>
    <w:lvl w:ilvl="0">
      <w:lvlJc w:val="left"/>
      <w:lvlText w:val="%1."/>
      <w:numFmt w:val="decimal"/>
      <w:start w:val="6"/>
    </w:lvl>
    <w:lvl w:ilvl="1">
      <w:lvlJc w:val="left"/>
      <w:lvlText w:val="%2."/>
      <w:numFmt w:val="lowerLetter"/>
      <w:start w:val="1"/>
    </w:lvl>
  </w:abstractNum>
  <w:abstractNum w:abstractNumId="55">
    <w:nsid w:val="885E1B"/>
    <w:multiLevelType w:val="hybridMultilevel"/>
    <w:lvl w:ilvl="0">
      <w:lvlJc w:val="left"/>
      <w:lvlText w:val="%1"/>
      <w:numFmt w:val="decimal"/>
      <w:start w:val="1"/>
    </w:lvl>
    <w:lvl w:ilvl="1">
      <w:lvlJc w:val="left"/>
      <w:lvlText w:val="%2."/>
      <w:numFmt w:val="lowerLetter"/>
      <w:start w:val="2"/>
    </w:lvl>
  </w:abstractNum>
  <w:abstractNum w:abstractNumId="56">
    <w:nsid w:val="76272110"/>
    <w:multiLevelType w:val="hybridMultilevel"/>
    <w:lvl w:ilvl="0">
      <w:lvlJc w:val="left"/>
      <w:lvlText w:val="%1."/>
      <w:numFmt w:val="decimal"/>
      <w:start w:val="14"/>
    </w:lvl>
    <w:lvl w:ilvl="1">
      <w:lvlJc w:val="left"/>
      <w:lvlText w:val="%2"/>
      <w:numFmt w:val="lowerLetter"/>
      <w:start w:val="1"/>
    </w:lvl>
  </w:abstractNum>
  <w:abstractNum w:abstractNumId="57">
    <w:nsid w:val="4C04A8AF"/>
    <w:multiLevelType w:val="hybridMultilevel"/>
    <w:lvl w:ilvl="0">
      <w:lvlJc w:val="left"/>
      <w:lvlText w:val="%1."/>
      <w:numFmt w:val="decimal"/>
      <w:start w:val="17"/>
    </w:lvl>
  </w:abstractNum>
  <w:abstractNum w:abstractNumId="58">
    <w:nsid w:val="1716703B"/>
    <w:multiLevelType w:val="hybridMultilevel"/>
    <w:lvl w:ilvl="0">
      <w:lvlJc w:val="left"/>
      <w:lvlText w:val="%1."/>
      <w:numFmt w:val="decimal"/>
      <w:start w:val="19"/>
    </w:lvl>
  </w:abstractNum>
  <w:abstractNum w:abstractNumId="59">
    <w:nsid w:val="14E17E33"/>
    <w:multiLevelType w:val="hybridMultilevel"/>
    <w:lvl w:ilvl="0">
      <w:lvlJc w:val="left"/>
      <w:lvlText w:val="%1."/>
      <w:numFmt w:val="decimal"/>
      <w:start w:val="1"/>
    </w:lvl>
    <w:lvl w:ilvl="1">
      <w:lvlJc w:val="left"/>
      <w:lvlText w:val="%2."/>
      <w:numFmt w:val="lowerLetter"/>
      <w:start w:val="1"/>
    </w:lvl>
  </w:abstractNum>
  <w:abstractNum w:abstractNumId="60">
    <w:nsid w:val="3222E7CD"/>
    <w:multiLevelType w:val="hybridMultilevel"/>
    <w:lvl w:ilvl="0">
      <w:lvlJc w:val="left"/>
      <w:lvlText w:val="%1."/>
      <w:numFmt w:val="decimal"/>
      <w:start w:val="2"/>
    </w:lvl>
    <w:lvl w:ilvl="1">
      <w:lvlJc w:val="left"/>
      <w:lvlText w:val="%2."/>
      <w:numFmt w:val="lowerLetter"/>
      <w:start w:val="1"/>
    </w:lvl>
  </w:abstractNum>
  <w:abstractNum w:abstractNumId="61">
    <w:nsid w:val="74DE0EE3"/>
    <w:multiLevelType w:val="hybridMultilevel"/>
    <w:lvl w:ilvl="0">
      <w:lvlJc w:val="left"/>
      <w:lvlText w:val="%1."/>
      <w:numFmt w:val="lowerLetter"/>
      <w:start w:val="2"/>
    </w:lvl>
  </w:abstractNum>
  <w:abstractNum w:abstractNumId="62">
    <w:nsid w:val="68EBC550"/>
    <w:multiLevelType w:val="hybridMultilevel"/>
    <w:lvl w:ilvl="0">
      <w:lvlJc w:val="left"/>
      <w:lvlText w:val="%1"/>
      <w:numFmt w:val="decimal"/>
      <w:start w:val="1"/>
    </w:lvl>
    <w:lvl w:ilvl="1">
      <w:lvlJc w:val="left"/>
      <w:lvlText w:val="%2."/>
      <w:numFmt w:val="lowerLetter"/>
      <w:start w:val="7"/>
    </w:lvl>
  </w:abstractNum>
  <w:abstractNum w:abstractNumId="63">
    <w:nsid w:val="2DF6D648"/>
    <w:multiLevelType w:val="hybridMultilevel"/>
    <w:lvl w:ilvl="0">
      <w:lvlJc w:val="left"/>
      <w:lvlText w:val="%1."/>
      <w:numFmt w:val="decimal"/>
      <w:start w:val="6"/>
    </w:lvl>
    <w:lvl w:ilvl="1">
      <w:lvlJc w:val="left"/>
      <w:lvlText w:val="%2."/>
      <w:numFmt w:val="lowerLetter"/>
      <w:start w:val="1"/>
    </w:lvl>
  </w:abstractNum>
  <w:abstractNum w:abstractNumId="64">
    <w:nsid w:val="46B7D447"/>
    <w:multiLevelType w:val="hybridMultilevel"/>
    <w:lvl w:ilvl="0">
      <w:lvlJc w:val="left"/>
      <w:lvlText w:val="%1."/>
      <w:numFmt w:val="decimal"/>
      <w:start w:val="9"/>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6"/>
    </w:lvl>
    <w:lvl w:ilvl="1">
      <w:lvlJc w:val="left"/>
      <w:lvlText w:val="%2."/>
      <w:numFmt w:val="lowerLetter"/>
      <w:start w:val="1"/>
    </w:lvl>
  </w:abstractNum>
  <w:abstractNum w:abstractNumId="67">
    <w:nsid w:val="57FC4FBB"/>
    <w:multiLevelType w:val="hybridMultilevel"/>
    <w:lvl w:ilvl="0">
      <w:lvlJc w:val="left"/>
      <w:lvlText w:val="%1"/>
      <w:numFmt w:val="decimal"/>
      <w:start w:val="1"/>
    </w:lvl>
    <w:lvl w:ilvl="1">
      <w:lvlJc w:val="left"/>
      <w:lvlText w:val="%2."/>
      <w:numFmt w:val="lowerLetter"/>
      <w:start w:val="2"/>
    </w:lvl>
  </w:abstractNum>
  <w:abstractNum w:abstractNumId="68">
    <w:nsid w:val="CC1016F"/>
    <w:multiLevelType w:val="hybridMultilevel"/>
    <w:lvl w:ilvl="0">
      <w:lvlJc w:val="left"/>
      <w:lvlText w:val="%1."/>
      <w:numFmt w:val="decimal"/>
      <w:start w:val="14"/>
    </w:lvl>
    <w:lvl w:ilvl="1">
      <w:lvlJc w:val="left"/>
      <w:lvlText w:val="%2"/>
      <w:numFmt w:val="lowerLetter"/>
      <w:start w:val="1"/>
    </w:lvl>
  </w:abstractNum>
  <w:abstractNum w:abstractNumId="69">
    <w:nsid w:val="43F18422"/>
    <w:multiLevelType w:val="hybridMultilevel"/>
    <w:lvl w:ilvl="0">
      <w:lvlJc w:val="left"/>
      <w:lvlText w:val="%1."/>
      <w:numFmt w:val="decimal"/>
      <w:start w:val="17"/>
    </w:lvl>
  </w:abstractNum>
  <w:abstractNum w:abstractNumId="70">
    <w:nsid w:val="60EF0119"/>
    <w:multiLevelType w:val="hybridMultilevel"/>
    <w:lvl w:ilvl="0">
      <w:lvlJc w:val="left"/>
      <w:lvlText w:val="%1."/>
      <w:numFmt w:val="decimal"/>
      <w:start w:val="19"/>
    </w:lvl>
  </w:abstractNum>
  <w:abstractNum w:abstractNumId="71">
    <w:nsid w:val="26F324BA"/>
    <w:multiLevelType w:val="hybridMultilevel"/>
    <w:lvl w:ilvl="0">
      <w:lvlJc w:val="left"/>
      <w:lvlText w:val="%1."/>
      <w:numFmt w:val="decimal"/>
      <w:start w:val="1"/>
    </w:lvl>
    <w:lvl w:ilvl="1">
      <w:lvlJc w:val="left"/>
      <w:lvlText w:val="%2."/>
      <w:numFmt w:val="lowerLetter"/>
      <w:start w:val="1"/>
    </w:lvl>
  </w:abstractNum>
  <w:abstractNum w:abstractNumId="72">
    <w:nsid w:val="7F01579B"/>
    <w:multiLevelType w:val="hybridMultilevel"/>
    <w:lvl w:ilvl="0">
      <w:lvlJc w:val="left"/>
      <w:lvlText w:val="%1."/>
      <w:numFmt w:val="decimal"/>
      <w:start w:val="2"/>
    </w:lvl>
    <w:lvl w:ilvl="1">
      <w:lvlJc w:val="left"/>
      <w:lvlText w:val="%2."/>
      <w:numFmt w:val="lowerLetter"/>
      <w:start w:val="1"/>
    </w:lvl>
  </w:abstractNum>
  <w:abstractNum w:abstractNumId="73">
    <w:nsid w:val="49DA307D"/>
    <w:multiLevelType w:val="hybridMultilevel"/>
    <w:lvl w:ilvl="0">
      <w:lvlJc w:val="left"/>
      <w:lvlText w:val="%1."/>
      <w:numFmt w:val="lowerLetter"/>
      <w:start w:val="2"/>
    </w:lvl>
  </w:abstractNum>
  <w:abstractNum w:abstractNumId="74">
    <w:nsid w:val="7055A5F5"/>
    <w:multiLevelType w:val="hybridMultilevel"/>
    <w:lvl w:ilvl="0">
      <w:lvlJc w:val="left"/>
      <w:lvlText w:val="%1"/>
      <w:numFmt w:val="decimal"/>
      <w:start w:val="1"/>
    </w:lvl>
    <w:lvl w:ilvl="1">
      <w:lvlJc w:val="left"/>
      <w:lvlText w:val="%2."/>
      <w:numFmt w:val="lowerLetter"/>
      <w:start w:val="7"/>
    </w:lvl>
  </w:abstractNum>
  <w:abstractNum w:abstractNumId="75">
    <w:nsid w:val="5FB8370B"/>
    <w:multiLevelType w:val="hybridMultilevel"/>
    <w:lvl w:ilvl="0">
      <w:lvlJc w:val="left"/>
      <w:lvlText w:val="%1."/>
      <w:numFmt w:val="decimal"/>
      <w:start w:val="6"/>
    </w:lvl>
    <w:lvl w:ilvl="1">
      <w:lvlJc w:val="left"/>
      <w:lvlText w:val="%2."/>
      <w:numFmt w:val="lowerLetter"/>
      <w:start w:val="1"/>
    </w:lvl>
  </w:abstractNum>
  <w:abstractNum w:abstractNumId="76">
    <w:nsid w:val="50801EE1"/>
    <w:multiLevelType w:val="hybridMultilevel"/>
    <w:lvl w:ilvl="0">
      <w:lvlJc w:val="left"/>
      <w:lvlText w:val="%1."/>
      <w:numFmt w:val="decimal"/>
      <w:start w:val="9"/>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1."/>
      <w:numFmt w:val="decimal"/>
      <w:start w:val="6"/>
    </w:lvl>
    <w:lvl w:ilvl="1">
      <w:lvlJc w:val="left"/>
      <w:lvlText w:val="%2."/>
      <w:numFmt w:val="lowerLetter"/>
      <w:start w:val="1"/>
    </w:lvl>
  </w:abstractNum>
  <w:abstractNum w:abstractNumId="79">
    <w:nsid w:val="6AA78F7F"/>
    <w:multiLevelType w:val="hybridMultilevel"/>
    <w:lvl w:ilvl="0">
      <w:lvlJc w:val="left"/>
      <w:lvlText w:val="%1"/>
      <w:numFmt w:val="decimal"/>
      <w:start w:val="1"/>
    </w:lvl>
    <w:lvl w:ilvl="1">
      <w:lvlJc w:val="left"/>
      <w:lvlText w:val="%2."/>
      <w:numFmt w:val="lowerLetter"/>
      <w:start w:val="2"/>
    </w:lvl>
  </w:abstractNum>
  <w:abstractNum w:abstractNumId="80">
    <w:nsid w:val="7672BD23"/>
    <w:multiLevelType w:val="hybridMultilevel"/>
    <w:lvl w:ilvl="0">
      <w:lvlJc w:val="left"/>
      <w:lvlText w:val="%1."/>
      <w:numFmt w:val="decimal"/>
      <w:start w:val="14"/>
    </w:lvl>
    <w:lvl w:ilvl="1">
      <w:lvlJc w:val="left"/>
      <w:lvlText w:val="%2"/>
      <w:numFmt w:val="lowerLetter"/>
      <w:start w:val="1"/>
    </w:lvl>
  </w:abstractNum>
  <w:abstractNum w:abstractNumId="81">
    <w:nsid w:val="6FC75AF8"/>
    <w:multiLevelType w:val="hybridMultilevel"/>
    <w:lvl w:ilvl="0">
      <w:lvlJc w:val="left"/>
      <w:lvlText w:val="%1."/>
      <w:numFmt w:val="decimal"/>
      <w:start w:val="17"/>
    </w:lvl>
  </w:abstractNum>
  <w:abstractNum w:abstractNumId="82">
    <w:nsid w:val="6A5F7029"/>
    <w:multiLevelType w:val="hybridMultilevel"/>
    <w:lvl w:ilvl="0">
      <w:lvlJc w:val="left"/>
      <w:lvlText w:val="%1."/>
      <w:numFmt w:val="decimal"/>
      <w:start w:val="19"/>
    </w:lvl>
  </w:abstractNum>
  <w:abstractNum w:abstractNumId="83">
    <w:nsid w:val="7D5E18F8"/>
    <w:multiLevelType w:val="hybridMultilevel"/>
    <w:lvl w:ilvl="0">
      <w:lvlJc w:val="left"/>
      <w:lvlText w:val="%1."/>
      <w:numFmt w:val="decimal"/>
      <w:start w:val="1"/>
    </w:lvl>
    <w:lvl w:ilvl="1">
      <w:lvlJc w:val="left"/>
      <w:lvlText w:val="%2."/>
      <w:numFmt w:val="lowerLetter"/>
      <w:start w:val="1"/>
    </w:lvl>
  </w:abstractNum>
  <w:abstractNum w:abstractNumId="84">
    <w:nsid w:val="5F3534A4"/>
    <w:multiLevelType w:val="hybridMultilevel"/>
    <w:lvl w:ilvl="0">
      <w:lvlJc w:val="left"/>
      <w:lvlText w:val="%1."/>
      <w:numFmt w:val="decimal"/>
      <w:start w:val="2"/>
    </w:lvl>
    <w:lvl w:ilvl="1">
      <w:lvlJc w:val="left"/>
      <w:lvlText w:val="%2."/>
      <w:numFmt w:val="lowerLetter"/>
      <w:start w:val="1"/>
    </w:lvl>
  </w:abstractNum>
  <w:abstractNum w:abstractNumId="85">
    <w:nsid w:val="73A1821B"/>
    <w:multiLevelType w:val="hybridMultilevel"/>
    <w:lvl w:ilvl="0">
      <w:lvlJc w:val="left"/>
      <w:lvlText w:val="%1."/>
      <w:numFmt w:val="lowerLetter"/>
      <w:start w:val="2"/>
    </w:lvl>
  </w:abstractNum>
  <w:abstractNum w:abstractNumId="86">
    <w:nsid w:val="7DE67713"/>
    <w:multiLevelType w:val="hybridMultilevel"/>
    <w:lvl w:ilvl="0">
      <w:lvlJc w:val="left"/>
      <w:lvlText w:val="%1"/>
      <w:numFmt w:val="decimal"/>
      <w:start w:val="1"/>
    </w:lvl>
    <w:lvl w:ilvl="1">
      <w:lvlJc w:val="left"/>
      <w:lvlText w:val="%2."/>
      <w:numFmt w:val="lowerLetter"/>
      <w:start w:val="7"/>
    </w:lvl>
  </w:abstractNum>
  <w:abstractNum w:abstractNumId="87">
    <w:nsid w:val="555C55B5"/>
    <w:multiLevelType w:val="hybridMultilevel"/>
    <w:lvl w:ilvl="0">
      <w:lvlJc w:val="left"/>
      <w:lvlText w:val="%1."/>
      <w:numFmt w:val="decimal"/>
      <w:start w:val="6"/>
    </w:lvl>
    <w:lvl w:ilvl="1">
      <w:lvlJc w:val="left"/>
      <w:lvlText w:val="%2."/>
      <w:numFmt w:val="lowerLetter"/>
      <w:start w:val="1"/>
    </w:lvl>
  </w:abstractNum>
  <w:abstractNum w:abstractNumId="88">
    <w:nsid w:val="3FA62ACA"/>
    <w:multiLevelType w:val="hybridMultilevel"/>
    <w:lvl w:ilvl="0">
      <w:lvlJc w:val="left"/>
      <w:lvlText w:val="%1."/>
      <w:numFmt w:val="decimal"/>
      <w:start w:val="9"/>
    </w:lvl>
  </w:abstractNum>
  <w:abstractNum w:abstractNumId="89">
    <w:nsid w:val="14FCE74E"/>
    <w:multiLevelType w:val="hybridMultilevel"/>
    <w:lvl w:ilvl="0">
      <w:lvlJc w:val="left"/>
      <w:lvlText w:val="%1."/>
      <w:numFmt w:val="upperLetter"/>
      <w:start w:val="9"/>
    </w:lvl>
  </w:abstractNum>
  <w:abstractNum w:abstractNumId="90">
    <w:nsid w:val="6A3DD3E8"/>
    <w:multiLevelType w:val="hybridMultilevel"/>
    <w:lvl w:ilvl="0">
      <w:lvlJc w:val="left"/>
      <w:lvlText w:val="%1."/>
      <w:numFmt w:val="upperLetter"/>
      <w:start w:val="35"/>
    </w:lvl>
    <w:lvl w:ilvl="1">
      <w:lvlJc w:val="left"/>
      <w:lvlText w:val="%2."/>
      <w:numFmt w:val="upperLetter"/>
      <w:start w:val="1"/>
    </w:lvl>
  </w:abstractNum>
  <w:abstractNum w:abstractNumId="91">
    <w:nsid w:val="71C91298"/>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2">
    <w:nsid w:val="9DAF632"/>
    <w:multiLevelType w:val="hybridMultilevel"/>
    <w:lvl w:ilvl="0">
      <w:lvlJc w:val="left"/>
      <w:lvlText w:val="%1"/>
      <w:numFmt w:val="upperLetter"/>
      <w:start w:val="1"/>
    </w:lvl>
    <w:lvl w:ilvl="1">
      <w:lvlJc w:val="left"/>
      <w:lvlText w:val="%2."/>
      <w:numFmt w:val="decimal"/>
      <w:start w:val="3"/>
    </w:lvl>
  </w:abstractNum>
  <w:abstractNum w:abstractNumId="93">
    <w:nsid w:val="53299938"/>
    <w:multiLevelType w:val="hybridMultilevel"/>
    <w:lvl w:ilvl="0">
      <w:lvlJc w:val="left"/>
      <w:lvlText w:val="%1."/>
      <w:numFmt w:val="upperLetter"/>
      <w:start w:val="2"/>
    </w:lvl>
    <w:lvl w:ilvl="1">
      <w:lvlJc w:val="left"/>
      <w:lvlText w:val="%2."/>
      <w:numFmt w:val="decimal"/>
      <w:start w:val="1"/>
    </w:lvl>
  </w:abstractNum>
  <w:abstractNum w:abstractNumId="94">
    <w:nsid w:val="1FBFE8E0"/>
    <w:multiLevelType w:val="hybridMultilevel"/>
    <w:lvl w:ilvl="0">
      <w:lvlJc w:val="left"/>
      <w:lvlText w:val="%1."/>
      <w:numFmt w:val="upperLetter"/>
      <w:start w:val="1"/>
    </w:lvl>
  </w:abstractNum>
  <w:abstractNum w:abstractNumId="95">
    <w:nsid w:val="5092CA79"/>
    <w:multiLevelType w:val="hybridMultilevel"/>
    <w:lvl w:ilvl="0">
      <w:lvlJc w:val="left"/>
      <w:lvlText w:val="%1."/>
      <w:numFmt w:val="decimal"/>
      <w:start w:val="1"/>
    </w:lvl>
    <w:lvl w:ilvl="1">
      <w:lvlJc w:val="left"/>
      <w:lvlText w:val="●"/>
      <w:numFmt w:val="bullet"/>
      <w:start w:val="1"/>
    </w:lvl>
  </w:abstractNum>
  <w:abstractNum w:abstractNumId="96">
    <w:nsid w:val="1D545C4D"/>
    <w:multiLevelType w:val="hybridMultilevel"/>
    <w:lvl w:ilvl="0">
      <w:lvlJc w:val="left"/>
      <w:lvlText w:val="%1."/>
      <w:numFmt w:val="decimal"/>
      <w:start w:val="3"/>
    </w:lvl>
    <w:lvl w:ilvl="1">
      <w:lvlJc w:val="left"/>
      <w:lvlText w:val="●"/>
      <w:numFmt w:val="bullet"/>
      <w:start w:val="1"/>
    </w:lvl>
  </w:abstractNum>
  <w:abstractNum w:abstractNumId="97">
    <w:nsid w:val="59ADEA3D"/>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98">
    <w:nsid w:val="288F1A3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99">
    <w:nsid w:val="2A155DB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00">
    <w:nsid w:val="1D9F6E5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1">
    <w:nsid w:val="97E1B4E"/>
    <w:multiLevelType w:val="hybridMultilevel"/>
    <w:lvl w:ilvl="0">
      <w:lvlJc w:val="left"/>
      <w:lvlText w:val="%1."/>
      <w:numFmt w:val="lowerLetter"/>
      <w:start w:val="2"/>
    </w:lvl>
  </w:abstractNum>
  <w:abstractNum w:abstractNumId="102">
    <w:nsid w:val="51088277"/>
    <w:multiLevelType w:val="hybridMultilevel"/>
    <w:lvl w:ilvl="0">
      <w:lvlJc w:val="left"/>
      <w:lvlText w:val="%1"/>
      <w:numFmt w:val="upperLetter"/>
      <w:start w:val="1"/>
    </w:lvl>
    <w:lvl w:ilvl="1">
      <w:lvlJc w:val="left"/>
      <w:lvlText w:val="%2."/>
      <w:numFmt w:val="decimal"/>
      <w:start w:val="2"/>
    </w:lvl>
  </w:abstractNum>
  <w:abstractNum w:abstractNumId="103">
    <w:nsid w:val="1CA0C5FA"/>
    <w:multiLevelType w:val="hybridMultilevel"/>
    <w:lvl w:ilvl="0">
      <w:lvlJc w:val="left"/>
      <w:lvlText w:val="%1"/>
      <w:numFmt w:val="upperLetter"/>
      <w:start w:val="1"/>
    </w:lvl>
    <w:lvl w:ilvl="1">
      <w:lvlJc w:val="left"/>
      <w:lvlText w:val="%2."/>
      <w:numFmt w:val="decimal"/>
      <w:start w:val="1"/>
    </w:lvl>
  </w:abstractNum>
  <w:abstractNum w:abstractNumId="104">
    <w:nsid w:val="53584BCB"/>
    <w:multiLevelType w:val="hybridMultilevel"/>
    <w:lvl w:ilvl="0">
      <w:lvlJc w:val="left"/>
      <w:lvlText w:val="%1."/>
      <w:numFmt w:val="upperLetter"/>
      <w:start w:val="1"/>
    </w:lvl>
  </w:abstractNum>
  <w:abstractNum w:abstractNumId="105">
    <w:nsid w:val="415E286C"/>
    <w:multiLevelType w:val="hybridMultilevel"/>
    <w:lvl w:ilvl="0">
      <w:lvlJc w:val="left"/>
      <w:lvlText w:val="%1."/>
      <w:numFmt w:val="upperLetter"/>
      <w:start w:val="3"/>
    </w:lvl>
  </w:abstractNum>
  <w:abstractNum w:abstractNumId="106">
    <w:nsid w:val="7C58FD05"/>
    <w:multiLevelType w:val="hybridMultilevel"/>
    <w:lvl w:ilvl="0">
      <w:lvlJc w:val="left"/>
      <w:lvlText w:val="%1."/>
      <w:numFmt w:val="upperLetter"/>
      <w:start w:val="1"/>
    </w:lvl>
  </w:abstractNum>
  <w:abstractNum w:abstractNumId="107">
    <w:nsid w:val="23D86AAC"/>
    <w:multiLevelType w:val="hybridMultilevel"/>
    <w:lvl w:ilvl="0">
      <w:lvlJc w:val="left"/>
      <w:lvlText w:val="%1."/>
      <w:numFmt w:val="upperLetter"/>
      <w:start w:val="2"/>
    </w:lvl>
    <w:lvl w:ilvl="1">
      <w:lvlJc w:val="left"/>
      <w:lvlText w:val="%2."/>
      <w:numFmt w:val="decimal"/>
      <w:start w:val="1"/>
    </w:lvl>
  </w:abstractNum>
  <w:abstractNum w:abstractNumId="108">
    <w:nsid w:val="45E6D486"/>
    <w:multiLevelType w:val="hybridMultilevel"/>
    <w:lvl w:ilvl="0">
      <w:lvlJc w:val="left"/>
      <w:lvlText w:val="%1."/>
      <w:numFmt w:val="decimal"/>
      <w:start w:val="2"/>
    </w:lvl>
  </w:abstractNum>
  <w:abstractNum w:abstractNumId="109">
    <w:nsid w:val="5C10FE21"/>
    <w:multiLevelType w:val="hybridMultilevel"/>
    <w:lvl w:ilvl="0">
      <w:lvlJc w:val="left"/>
      <w:lvlText w:val="%1."/>
      <w:numFmt w:val="upperLetter"/>
      <w:start w:val="1"/>
    </w:lvl>
  </w:abstractNum>
  <w:abstractNum w:abstractNumId="110">
    <w:nsid w:val="E7FFA2B"/>
    <w:multiLevelType w:val="hybridMultilevel"/>
    <w:lvl w:ilvl="0">
      <w:lvlJc w:val="left"/>
      <w:lvlText w:val="%1."/>
      <w:numFmt w:val="upperLetter"/>
      <w:start w:val="2"/>
    </w:lvl>
  </w:abstractNum>
  <w:abstractNum w:abstractNumId="111">
    <w:nsid w:val="3C5991AA"/>
    <w:multiLevelType w:val="hybridMultilevel"/>
    <w:lvl w:ilvl="0">
      <w:lvlJc w:val="left"/>
      <w:lvlText w:val="%1."/>
      <w:numFmt w:val="upperLetter"/>
      <w:start w:val="3"/>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decimal"/>
      <w:start w:val="2"/>
    </w:lvl>
  </w:abstractNum>
  <w:abstractNum w:abstractNumId="116">
    <w:nsid w:val="6C80EC70"/>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72" Type="http://schemas.openxmlformats.org/officeDocument/2006/relationships/hyperlink" Target="http://www.sec.gov/Archives/edgar/data/1626878/000117184319008353/exh_21.htm" TargetMode="External"/><Relationship Id="rId73" Type="http://schemas.openxmlformats.org/officeDocument/2006/relationships/hyperlink" Target="http://www.sec.gov/Archives/edgar/data/1626878/000119312515028552/d833047dex31.htm" TargetMode="External"/><Relationship Id="rId74" Type="http://schemas.openxmlformats.org/officeDocument/2006/relationships/hyperlink" Target="http://www.sec.gov/Archives/edgar/data/1626878/000119312515028552/d833047dex32.htm" TargetMode="External"/><Relationship Id="rId75" Type="http://schemas.openxmlformats.org/officeDocument/2006/relationships/hyperlink" Target="http://www.sec.gov/Archives/edgar/data/1626878/000119312515109202/d833047dex33.htm" TargetMode="External"/><Relationship Id="rId76" Type="http://schemas.openxmlformats.org/officeDocument/2006/relationships/hyperlink" Target="http://www.sec.gov/Archives/edgar/data/1626878/000117184325006266/exh_101.htm" TargetMode="External"/><Relationship Id="rId77" Type="http://schemas.openxmlformats.org/officeDocument/2006/relationships/hyperlink" Target="http://www.sec.gov/Archives/edgar/data/1626878/000119312515028552/d833047dex102.htm" TargetMode="External"/><Relationship Id="rId78" Type="http://schemas.openxmlformats.org/officeDocument/2006/relationships/hyperlink" Target="http://www.sec.gov/Archives/edgar/data/1626878/000119312515028552/d833047dex103.htm" TargetMode="External"/><Relationship Id="rId79" Type="http://schemas.openxmlformats.org/officeDocument/2006/relationships/hyperlink" Target="http://www.sec.gov/Archives/edgar/data/1626878/000117184315005578/exh_44.htm" TargetMode="External"/><Relationship Id="rId80" Type="http://schemas.openxmlformats.org/officeDocument/2006/relationships/hyperlink" Target="http://www.sec.gov/Archives/edgar/data/1626878/000119312515028552/d833047dex105.htm" TargetMode="External"/><Relationship Id="rId81" Type="http://schemas.openxmlformats.org/officeDocument/2006/relationships/hyperlink" Target="http://www.sec.gov/Archives/edgar/data/1626878/000119312515085322/d833047dex109.htm" TargetMode="External"/><Relationship Id="rId82" Type="http://schemas.openxmlformats.org/officeDocument/2006/relationships/hyperlink" Target="http://www.sec.gov/Archives/edgar/data/1626878/000119312515085322/d833047dex1010.htm" TargetMode="External"/><Relationship Id="rId83" Type="http://schemas.openxmlformats.org/officeDocument/2006/relationships/hyperlink" Target="http://www.sec.gov/Archives/edgar/data/1626878/000119312515085322/d833047dex1011.htm" TargetMode="External"/><Relationship Id="rId84" Type="http://schemas.openxmlformats.org/officeDocument/2006/relationships/hyperlink" Target="http://www.sec.gov/Archives/edgar/data/1626878/000117184323001705/ex_485101.htm" TargetMode="External"/><Relationship Id="rId85" Type="http://schemas.openxmlformats.org/officeDocument/2006/relationships/hyperlink" Target="http://www.sec.gov/Archives/edgar/data/1626878/000117184323001705/ex_485102.htm" TargetMode="External"/><Relationship Id="rId86" Type="http://schemas.openxmlformats.org/officeDocument/2006/relationships/hyperlink" Target="http://www.sec.gov/Archives/edgar/data/1626878/000117184320002999/def14a_042920.htm" TargetMode="External"/><Relationship Id="rId87" Type="http://schemas.openxmlformats.org/officeDocument/2006/relationships/hyperlink" Target="http://www.sec.gov/ix?doc=/Archives/edgar/data/0001626878/000119312525156276/d925812ddef14a.htm" TargetMode="External"/><Relationship Id="rId88" Type="http://schemas.openxmlformats.org/officeDocument/2006/relationships/hyperlink" Target="http://www.sec.gov/Archives/edgar/data/1626878/000117184319008353/exh_101.htm" TargetMode="External"/><Relationship Id="rId89" Type="http://schemas.openxmlformats.org/officeDocument/2006/relationships/hyperlink" Target="http://www.sec.gov/Archives/edgar/data/1626878/000117184320001761/exh_1014.htm" TargetMode="External"/><Relationship Id="rId90" Type="http://schemas.openxmlformats.org/officeDocument/2006/relationships/hyperlink" Target="http://www.sec.gov/Archives/edgar/data/1626878/000117184320001761/exh_1015.htm" TargetMode="External"/><Relationship Id="rId91" Type="http://schemas.openxmlformats.org/officeDocument/2006/relationships/hyperlink" Target="http://www.sec.gov/Archives/edgar/data/1626878/000117184325001527/ex_787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2026-03-13T13:37:29Z</dcterms:created>
  <dcterms:modified xsi:type="dcterms:W3CDTF">2026-03-13T13:37:29Z</dcterms:modified>
</cp:coreProperties>
</file>