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4320" w:right="4020" w:hanging="4312"/>
        <w:spacing w:after="0" w:line="547" w:lineRule="auto"/>
        <w:tabs>
          <w:tab w:leader="none" w:pos="59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001-37437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XBIOTECH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20"/>
          </w:cols>
          <w:pgMar w:left="240" w:top="206" w:right="2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900"/>
        <w:spacing w:after="0"/>
        <w:rPr>
          <w:sz w:val="20"/>
          <w:szCs w:val="20"/>
          <w:color w:val="auto"/>
        </w:rPr>
      </w:pPr>
      <w:r>
        <w:rPr>
          <w:rFonts w:ascii="Arial" w:cs="Arial" w:eastAsia="Arial" w:hAnsi="Arial"/>
          <w:sz w:val="16"/>
          <w:szCs w:val="16"/>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8" w:lineRule="exact"/>
        <w:rPr>
          <w:sz w:val="24"/>
          <w:szCs w:val="24"/>
          <w:color w:val="auto"/>
        </w:rPr>
      </w:pPr>
    </w:p>
    <w:p>
      <w:pPr>
        <w:sectPr>
          <w:pgSz w:w="11900" w:h="16838" w:orient="portrait"/>
          <w:cols w:equalWidth="0" w:num="2">
            <w:col w:w="7880" w:space="720"/>
            <w:col w:w="2820"/>
          </w:cols>
          <w:pgMar w:left="240" w:top="206" w:right="239" w:bottom="1440" w:gutter="0" w:footer="0" w:header="0"/>
          <w:type w:val="continuous"/>
        </w:sectPr>
      </w:pPr>
    </w:p>
    <w:p>
      <w:pPr>
        <w:spacing w:after="0" w:line="19" w:lineRule="exact"/>
        <w:rPr>
          <w:sz w:val="24"/>
          <w:szCs w:val="24"/>
          <w:color w:val="auto"/>
        </w:rPr>
      </w:pPr>
    </w:p>
    <w:p>
      <w:pPr>
        <w:ind w:left="21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4"/>
          <w:szCs w:val="14"/>
          <w:b w:val="1"/>
          <w:bCs w:val="1"/>
          <w:color w:val="auto"/>
        </w:rPr>
        <w:t>(IRS Employer</w:t>
      </w:r>
    </w:p>
    <w:p>
      <w:pPr>
        <w:jc w:val="center"/>
        <w:ind w:right="2180"/>
        <w:spacing w:after="0"/>
        <w:rPr>
          <w:sz w:val="20"/>
          <w:szCs w:val="20"/>
          <w:color w:val="auto"/>
        </w:rPr>
      </w:pPr>
      <w:r>
        <w:rPr>
          <w:rFonts w:ascii="Arial" w:cs="Arial" w:eastAsia="Arial" w:hAnsi="Arial"/>
          <w:sz w:val="13"/>
          <w:szCs w:val="13"/>
          <w:b w:val="1"/>
          <w:bCs w:val="1"/>
          <w:color w:val="auto"/>
        </w:rPr>
        <w:t>Identification No.)</w:t>
      </w:r>
    </w:p>
    <w:p>
      <w:pPr>
        <w:spacing w:after="0" w:line="136" w:lineRule="exact"/>
        <w:rPr>
          <w:sz w:val="24"/>
          <w:szCs w:val="24"/>
          <w:color w:val="auto"/>
        </w:rPr>
      </w:pPr>
    </w:p>
    <w:p>
      <w:pPr>
        <w:sectPr>
          <w:pgSz w:w="11900" w:h="16838" w:orient="portrait"/>
          <w:cols w:equalWidth="0" w:num="2">
            <w:col w:w="7400" w:space="720"/>
            <w:col w:w="3300"/>
          </w:cols>
          <w:pgMar w:left="240" w:top="206"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8201 E. Riverside Drive, Bldg. 4, Suite 100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Austin, TX 78744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(512) 386-2900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420"/>
          </w:cols>
          <w:pgMar w:left="240" w:top="206" w:right="239" w:bottom="1440" w:gutter="0" w:footer="0" w:header="0"/>
          <w:type w:val="continuous"/>
        </w:sectPr>
      </w:pPr>
    </w:p>
    <w:p>
      <w:pPr>
        <w:spacing w:after="0" w:line="219"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240" w:top="476" w:right="419" w:bottom="1440" w:gutter="0" w:footer="0" w:header="0"/>
        </w:sectPr>
      </w:pP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9" w:lineRule="exact"/>
        <w:rPr>
          <w:sz w:val="20"/>
          <w:szCs w:val="20"/>
          <w:color w:val="auto"/>
        </w:rPr>
      </w:pPr>
    </w:p>
    <w:p>
      <w:pPr>
        <w:sectPr>
          <w:pgSz w:w="11900" w:h="16838" w:orient="portrait"/>
          <w:cols w:equalWidth="0" w:num="4">
            <w:col w:w="1620" w:space="680"/>
            <w:col w:w="5440" w:space="720"/>
            <w:col w:w="1980" w:space="640"/>
            <w:col w:w="160"/>
          </w:cols>
          <w:pgMar w:left="240" w:top="476" w:right="419" w:bottom="1440" w:gutter="0" w:footer="0" w:header="0"/>
          <w:type w:val="continuous"/>
        </w:sectPr>
      </w:pPr>
    </w:p>
    <w:p>
      <w:pPr>
        <w:spacing w:after="0" w:line="196" w:lineRule="exact"/>
        <w:tabs>
          <w:tab w:leader="none" w:pos="83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2">
            <w:col w:w="8860" w:space="180"/>
            <w:col w:w="2200"/>
          </w:cols>
          <w:pgMar w:left="240" w:top="476" w:right="41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As of August 12, 2016, there were 32,442,865 shares of the Registrant's common stock issued and outstanding.</w:t>
      </w:r>
    </w:p>
    <w:p>
      <w:pPr>
        <w:sectPr>
          <w:pgSz w:w="11900" w:h="16838" w:orient="portrait"/>
          <w:cols w:equalWidth="0" w:num="1">
            <w:col w:w="11240"/>
          </w:cols>
          <w:pgMar w:left="240" w:top="476"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40"/>
          </w:cols>
          <w:pgMar w:left="240" w:top="476" w:right="4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AND SIX MONTHS ENDED 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60" w:type="dxa"/>
            <w:vAlign w:val="bottom"/>
            <w:gridSpan w:val="13"/>
          </w:tcPr>
          <w:p>
            <w:pPr>
              <w:jc w:val="center"/>
              <w:ind w:right="3680"/>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 FINANCIAL INFORMATION</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Item 1.</w:t>
              </w:r>
            </w:hyperlink>
          </w:p>
        </w:tc>
        <w:tc>
          <w:tcPr>
            <w:tcW w:w="860" w:type="dxa"/>
            <w:vAlign w:val="bottom"/>
            <w:gridSpan w:val="2"/>
          </w:tcPr>
          <w:p>
            <w:pPr>
              <w:spacing w:after="0"/>
              <w:rPr>
                <w:sz w:val="17"/>
                <w:szCs w:val="17"/>
                <w:color w:val="auto"/>
              </w:rPr>
            </w:pPr>
          </w:p>
        </w:tc>
        <w:tc>
          <w:tcPr>
            <w:tcW w:w="2740" w:type="dxa"/>
            <w:vAlign w:val="bottom"/>
            <w:gridSpan w:val="10"/>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Consolidated Financial Statements</w:t>
              </w:r>
            </w:hyperlink>
          </w:p>
        </w:tc>
        <w:tc>
          <w:tcPr>
            <w:tcW w:w="3200" w:type="dxa"/>
            <w:vAlign w:val="bottom"/>
            <w:tcBorders>
              <w:top w:val="single" w:sz="8" w:color="0000EE"/>
            </w:tcBorders>
            <w:gridSpan w:val="6"/>
          </w:tcPr>
          <w:p>
            <w:pPr>
              <w:spacing w:after="0"/>
              <w:rPr>
                <w:sz w:val="17"/>
                <w:szCs w:val="17"/>
                <w:color w:val="auto"/>
              </w:rPr>
            </w:pPr>
          </w:p>
        </w:tc>
        <w:tc>
          <w:tcPr>
            <w:tcW w:w="39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180" w:type="dxa"/>
            <w:vAlign w:val="bottom"/>
            <w:gridSpan w:val="17"/>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Balance Sheets as of June 30, 2016 (unaudited) and December 31, 2015</w:t>
              </w:r>
            </w:hyperlink>
          </w:p>
        </w:tc>
        <w:tc>
          <w:tcPr>
            <w:tcW w:w="3680" w:type="dxa"/>
            <w:vAlign w:val="bottom"/>
            <w:gridSpan w:val="5"/>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6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Operations for the Three months and Six months Ended June 30, 2016 (unaudited) and 2015</w:t>
              </w:r>
            </w:hyperlink>
          </w:p>
        </w:tc>
        <w:tc>
          <w:tcPr>
            <w:tcW w:w="180" w:type="dxa"/>
            <w:vAlign w:val="bottom"/>
            <w:gridSpan w:val="2"/>
            <w:vMerge w:val="restart"/>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Borders>
              <w:top w:val="single" w:sz="8" w:color="0000EE"/>
            </w:tcBorders>
            <w:gridSpan w:val="2"/>
            <w:vMerge w:val="restart"/>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w:t>
              </w:r>
            </w:hyperlink>
          </w:p>
        </w:tc>
        <w:tc>
          <w:tcPr>
            <w:tcW w:w="7840" w:type="dxa"/>
            <w:vAlign w:val="bottom"/>
            <w:tcBorders>
              <w:top w:val="single" w:sz="8" w:color="0000EE"/>
            </w:tcBorders>
            <w:gridSpan w:val="18"/>
            <w:vMerge w:val="restart"/>
          </w:tcPr>
          <w:p>
            <w:pPr>
              <w:spacing w:after="0"/>
              <w:rPr>
                <w:sz w:val="7"/>
                <w:szCs w:val="7"/>
                <w:color w:val="auto"/>
              </w:rPr>
            </w:pPr>
          </w:p>
        </w:tc>
        <w:tc>
          <w:tcPr>
            <w:tcW w:w="1180" w:type="dxa"/>
            <w:vAlign w:val="bottom"/>
            <w:gridSpan w:val="2"/>
            <w:vMerge w:val="restart"/>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Borders>
              <w:top w:val="single" w:sz="8" w:color="0000EE"/>
              <w:bottom w:val="single" w:sz="8" w:color="0000EE"/>
            </w:tcBorders>
            <w:gridSpan w:val="2"/>
            <w:vMerge w:val="continue"/>
          </w:tcPr>
          <w:p>
            <w:pPr>
              <w:spacing w:after="0"/>
              <w:rPr>
                <w:sz w:val="7"/>
                <w:szCs w:val="7"/>
                <w:color w:val="auto"/>
              </w:rPr>
            </w:pPr>
          </w:p>
        </w:tc>
        <w:tc>
          <w:tcPr>
            <w:tcW w:w="7840" w:type="dxa"/>
            <w:vAlign w:val="bottom"/>
            <w:tcBorders>
              <w:top w:val="single" w:sz="8" w:color="0000EE"/>
            </w:tcBorders>
            <w:gridSpan w:val="18"/>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60" w:type="dxa"/>
            <w:vAlign w:val="bottom"/>
            <w:gridSpan w:val="22"/>
          </w:tcPr>
          <w:p>
            <w:pPr>
              <w:spacing w:after="0" w:line="196"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Consolidated Statements of Comprehensive Loss for the Three months and Six months Ended June 30, 2016 (unaudited) and</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2015 (unaudited)</w:t>
              </w:r>
            </w:hyperlink>
          </w:p>
        </w:tc>
        <w:tc>
          <w:tcPr>
            <w:tcW w:w="86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6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Statements of Cash Flows for Six Months Ended June 30, 2016 (unaudited) and 2015 (unaudited)</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20" w:type="dxa"/>
            <w:vAlign w:val="bottom"/>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Consolidated Financial Statements (unaudited)</w:t>
              </w:r>
            </w:hyperlink>
          </w:p>
        </w:tc>
        <w:tc>
          <w:tcPr>
            <w:tcW w:w="1840" w:type="dxa"/>
            <w:vAlign w:val="bottom"/>
            <w:gridSpan w:val="3"/>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860" w:type="dxa"/>
            <w:vAlign w:val="bottom"/>
            <w:gridSpan w:val="2"/>
          </w:tcPr>
          <w:p>
            <w:pPr>
              <w:spacing w:after="0"/>
              <w:rPr>
                <w:sz w:val="17"/>
                <w:szCs w:val="17"/>
                <w:color w:val="auto"/>
              </w:rPr>
            </w:pPr>
          </w:p>
        </w:tc>
        <w:tc>
          <w:tcPr>
            <w:tcW w:w="9860" w:type="dxa"/>
            <w:vAlign w:val="bottom"/>
            <w:gridSpan w:val="2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18</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860" w:type="dxa"/>
            <w:vAlign w:val="bottom"/>
            <w:gridSpan w:val="2"/>
          </w:tcPr>
          <w:p>
            <w:pPr>
              <w:spacing w:after="0"/>
              <w:rPr>
                <w:sz w:val="17"/>
                <w:szCs w:val="17"/>
                <w:color w:val="auto"/>
              </w:rPr>
            </w:pPr>
          </w:p>
        </w:tc>
        <w:tc>
          <w:tcPr>
            <w:tcW w:w="43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400" w:type="dxa"/>
            <w:vAlign w:val="bottom"/>
            <w:gridSpan w:val="4"/>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c>
          <w:tcPr>
            <w:tcW w:w="0" w:type="dxa"/>
            <w:vAlign w:val="bottom"/>
          </w:tcPr>
          <w:p>
            <w:pPr>
              <w:spacing w:after="0"/>
              <w:rPr>
                <w:sz w:val="1"/>
                <w:szCs w:val="1"/>
                <w:color w:val="auto"/>
              </w:rPr>
            </w:pPr>
          </w:p>
        </w:tc>
      </w:tr>
      <w:tr>
        <w:trPr>
          <w:trHeight w:val="196"/>
        </w:trPr>
        <w:tc>
          <w:tcPr>
            <w:tcW w:w="138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9860" w:type="dxa"/>
            <w:vAlign w:val="bottom"/>
            <w:gridSpan w:val="2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60" w:type="dxa"/>
            <w:vAlign w:val="bottom"/>
            <w:gridSpan w:val="11"/>
          </w:tcPr>
          <w:p>
            <w:pPr>
              <w:jc w:val="center"/>
              <w:ind w:right="4100"/>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II—OTHER INFORMATION</w:t>
              </w:r>
            </w:hyperlink>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1.</w:t>
              </w:r>
            </w:hyperlink>
          </w:p>
        </w:tc>
        <w:tc>
          <w:tcPr>
            <w:tcW w:w="860" w:type="dxa"/>
            <w:vAlign w:val="bottom"/>
            <w:gridSpan w:val="2"/>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Legal Proceedings</w:t>
              </w:r>
            </w:hyperlink>
          </w:p>
        </w:tc>
        <w:tc>
          <w:tcPr>
            <w:tcW w:w="1560" w:type="dxa"/>
            <w:vAlign w:val="bottom"/>
            <w:gridSpan w:val="5"/>
          </w:tcPr>
          <w:p>
            <w:pPr>
              <w:spacing w:after="0"/>
              <w:rPr>
                <w:sz w:val="17"/>
                <w:szCs w:val="17"/>
                <w:color w:val="auto"/>
              </w:rPr>
            </w:pPr>
          </w:p>
        </w:tc>
        <w:tc>
          <w:tcPr>
            <w:tcW w:w="2860" w:type="dxa"/>
            <w:vAlign w:val="bottom"/>
            <w:tcBorders>
              <w:top w:val="single" w:sz="8" w:color="0000EE"/>
            </w:tcBorders>
            <w:gridSpan w:val="4"/>
          </w:tcPr>
          <w:p>
            <w:pPr>
              <w:spacing w:after="0"/>
              <w:rPr>
                <w:sz w:val="17"/>
                <w:szCs w:val="17"/>
                <w:color w:val="auto"/>
              </w:rPr>
            </w:pPr>
          </w:p>
        </w:tc>
        <w:tc>
          <w:tcPr>
            <w:tcW w:w="4100" w:type="dxa"/>
            <w:vAlign w:val="bottom"/>
            <w:gridSpan w:val="7"/>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196"/>
        </w:trPr>
        <w:tc>
          <w:tcPr>
            <w:tcW w:w="138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9860" w:type="dxa"/>
            <w:vAlign w:val="bottom"/>
            <w:gridSpan w:val="2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55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Unregistered Sales of Equity Securities and Use of Proceeds</w:t>
              </w:r>
            </w:hyperlink>
          </w:p>
        </w:tc>
        <w:tc>
          <w:tcPr>
            <w:tcW w:w="5500" w:type="dxa"/>
            <w:vAlign w:val="bottom"/>
            <w:gridSpan w:val="9"/>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860" w:type="dxa"/>
            <w:vAlign w:val="bottom"/>
            <w:gridSpan w:val="2"/>
          </w:tcPr>
          <w:p>
            <w:pPr>
              <w:spacing w:after="0"/>
              <w:rPr>
                <w:sz w:val="17"/>
                <w:szCs w:val="17"/>
                <w:color w:val="auto"/>
              </w:rPr>
            </w:pPr>
          </w:p>
        </w:tc>
        <w:tc>
          <w:tcPr>
            <w:tcW w:w="9860" w:type="dxa"/>
            <w:vAlign w:val="bottom"/>
            <w:gridSpan w:val="2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860" w:type="dxa"/>
            <w:vAlign w:val="bottom"/>
            <w:gridSpan w:val="2"/>
          </w:tcPr>
          <w:p>
            <w:pPr>
              <w:spacing w:after="0"/>
              <w:rPr>
                <w:sz w:val="17"/>
                <w:szCs w:val="17"/>
                <w:color w:val="auto"/>
              </w:rPr>
            </w:pP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17"/>
                <w:szCs w:val="17"/>
                <w:color w:val="auto"/>
              </w:rPr>
            </w:pPr>
          </w:p>
        </w:tc>
        <w:tc>
          <w:tcPr>
            <w:tcW w:w="7540" w:type="dxa"/>
            <w:vAlign w:val="bottom"/>
            <w:gridSpan w:val="14"/>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5.</w:t>
              </w:r>
            </w:hyperlink>
          </w:p>
        </w:tc>
        <w:tc>
          <w:tcPr>
            <w:tcW w:w="860" w:type="dxa"/>
            <w:vAlign w:val="bottom"/>
            <w:gridSpan w:val="2"/>
          </w:tcPr>
          <w:p>
            <w:pPr>
              <w:spacing w:after="0"/>
              <w:rPr>
                <w:sz w:val="17"/>
                <w:szCs w:val="17"/>
                <w:color w:val="auto"/>
              </w:rPr>
            </w:pPr>
          </w:p>
        </w:tc>
        <w:tc>
          <w:tcPr>
            <w:tcW w:w="9860" w:type="dxa"/>
            <w:vAlign w:val="bottom"/>
            <w:gridSpan w:val="2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860" w:type="dxa"/>
            <w:vAlign w:val="bottom"/>
            <w:gridSpan w:val="2"/>
          </w:tcPr>
          <w:p>
            <w:pPr>
              <w:spacing w:after="0"/>
              <w:rPr>
                <w:sz w:val="17"/>
                <w:szCs w:val="17"/>
                <w:color w:val="auto"/>
              </w:rPr>
            </w:pPr>
          </w:p>
        </w:tc>
        <w:tc>
          <w:tcPr>
            <w:tcW w:w="1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540" w:type="dxa"/>
            <w:vAlign w:val="bottom"/>
            <w:gridSpan w:val="17"/>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These forward-looking statements include, but are not limited to statements about:</w:t>
      </w:r>
    </w:p>
    <w:p>
      <w:pPr>
        <w:spacing w:after="0" w:line="178" w:lineRule="exact"/>
        <w:rPr>
          <w:sz w:val="20"/>
          <w:szCs w:val="20"/>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and sell Xilonix™ in the United States, Europe and elsewhere;</w:t>
      </w:r>
    </w:p>
    <w:p>
      <w:pPr>
        <w:spacing w:after="0" w:line="23" w:lineRule="exact"/>
        <w:rPr>
          <w:rFonts w:ascii="Arial" w:cs="Arial" w:eastAsia="Arial" w:hAnsi="Arial"/>
          <w:sz w:val="18"/>
          <w:szCs w:val="18"/>
          <w:color w:val="auto"/>
        </w:rPr>
      </w:pPr>
    </w:p>
    <w:p>
      <w:pPr>
        <w:ind w:left="880" w:right="240" w:hanging="332"/>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 for Xilonix™ and other product candidates;</w:t>
      </w: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the sale of Xilonix™ in the United States, Europe and elsewhere;</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future clinical trials for our pharmaceutical products;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new products using our True Human™ antibody discovery platform;</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20" w:lineRule="exact"/>
        <w:rPr>
          <w:rFonts w:ascii="Arial" w:cs="Arial" w:eastAsia="Arial" w:hAnsi="Arial"/>
          <w:sz w:val="17"/>
          <w:szCs w:val="17"/>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of the size and characteristics of the markets that may be addressed by our products and product candidates;</w:t>
      </w:r>
    </w:p>
    <w:p>
      <w:pPr>
        <w:spacing w:after="0" w:line="20" w:lineRule="exact"/>
        <w:rPr>
          <w:rFonts w:ascii="Arial" w:cs="Arial" w:eastAsia="Arial" w:hAnsi="Arial"/>
          <w:sz w:val="17"/>
          <w:szCs w:val="17"/>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Xilonix™ and future products, if any;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collaborators’ ability to obtain and maintain regulatory approvals for our product candidates;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4" w:name="page5"/>
    <w:bookmarkEnd w:id="4"/>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timing during which we will be an emerging growth company under the JOBS Act;</w:t>
      </w:r>
    </w:p>
    <w:p>
      <w:pPr>
        <w:spacing w:after="0" w:line="23"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including the success of competing therapies that are or become available; and</w:t>
      </w:r>
    </w:p>
    <w:p>
      <w:pPr>
        <w:spacing w:after="0" w:line="20" w:lineRule="exact"/>
        <w:rPr>
          <w:rFonts w:ascii="Arial" w:cs="Arial" w:eastAsia="Arial" w:hAnsi="Arial"/>
          <w:sz w:val="17"/>
          <w:szCs w:val="17"/>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under the heading “Risk Factors” included in our annual report for the year ended December 31, 2015 filed with the SEC on March 30, 2016,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5" w:name="page6"/>
    <w:bookmarkEnd w:id="5"/>
    <w:p>
      <w:pPr>
        <w:jc w:val="center"/>
        <w:ind w:left="3660"/>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left="366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left="3660"/>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Prepaid expenses and other current assets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current liabilities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no par value, unlimited shares authorized, no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hanging="179"/>
        <w:spacing w:after="0" w:line="250" w:lineRule="auto"/>
        <w:rPr>
          <w:sz w:val="20"/>
          <w:szCs w:val="20"/>
          <w:color w:val="auto"/>
        </w:rPr>
      </w:pPr>
      <w:r>
        <w:rPr>
          <w:rFonts w:ascii="Arial" w:cs="Arial" w:eastAsia="Arial" w:hAnsi="Arial"/>
          <w:sz w:val="18"/>
          <w:szCs w:val="18"/>
          <w:color w:val="auto"/>
        </w:rPr>
        <w:t>Common stock, no par value, unlimited shares authorized, 32,428,676 and 32,279,106 shares outstanding at June 30, 2016 and December 31, 2015, respectively</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June 30, 2016</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December 31, 2015</w:t>
            </w:r>
          </w:p>
        </w:tc>
      </w:tr>
      <w:tr>
        <w:trPr>
          <w:trHeight w:val="234"/>
        </w:trPr>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641"/>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64,798</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91,051</w:t>
            </w:r>
          </w:p>
        </w:tc>
      </w:tr>
      <w:tr>
        <w:trPr>
          <w:trHeight w:val="230"/>
        </w:trPr>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1,530</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1,990</w:t>
            </w:r>
          </w:p>
        </w:tc>
      </w:tr>
      <w:tr>
        <w:trPr>
          <w:trHeight w:val="195"/>
        </w:trPr>
        <w:tc>
          <w:tcPr>
            <w:tcW w:w="200" w:type="dxa"/>
            <w:vAlign w:val="bottom"/>
          </w:tcPr>
          <w:p>
            <w:pPr>
              <w:spacing w:after="0"/>
              <w:rPr>
                <w:sz w:val="16"/>
                <w:szCs w:val="16"/>
                <w:color w:val="auto"/>
              </w:rPr>
            </w:pPr>
          </w:p>
        </w:tc>
        <w:tc>
          <w:tcPr>
            <w:tcW w:w="14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66,328</w:t>
            </w:r>
          </w:p>
        </w:tc>
        <w:tc>
          <w:tcPr>
            <w:tcW w:w="540" w:type="dxa"/>
            <w:vAlign w:val="bottom"/>
          </w:tcPr>
          <w:p>
            <w:pPr>
              <w:spacing w:after="0"/>
              <w:rPr>
                <w:sz w:val="16"/>
                <w:szCs w:val="16"/>
                <w:color w:val="auto"/>
              </w:rPr>
            </w:pPr>
          </w:p>
        </w:tc>
        <w:tc>
          <w:tcPr>
            <w:tcW w:w="11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93,041</w:t>
            </w:r>
          </w:p>
        </w:tc>
      </w:tr>
      <w:tr>
        <w:trPr>
          <w:trHeight w:val="230"/>
        </w:trPr>
        <w:tc>
          <w:tcPr>
            <w:tcW w:w="20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9,779</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5,946</w:t>
            </w:r>
          </w:p>
        </w:tc>
      </w:tr>
      <w:tr>
        <w:trPr>
          <w:trHeight w:val="230"/>
        </w:trPr>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17,094</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10,371</w:t>
            </w:r>
          </w:p>
        </w:tc>
      </w:tr>
      <w:tr>
        <w:trPr>
          <w:trHeight w:val="250"/>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93,201</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109,358</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44"/>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8,494</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4,825</w:t>
            </w:r>
          </w:p>
        </w:tc>
      </w:tr>
      <w:tr>
        <w:trPr>
          <w:trHeight w:val="230"/>
        </w:trPr>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1,882</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1,466</w:t>
            </w:r>
          </w:p>
        </w:tc>
      </w:tr>
      <w:tr>
        <w:trPr>
          <w:trHeight w:val="209"/>
        </w:trPr>
        <w:tc>
          <w:tcPr>
            <w:tcW w:w="20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10,376</w:t>
            </w:r>
          </w:p>
        </w:tc>
        <w:tc>
          <w:tcPr>
            <w:tcW w:w="5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6,291</w:t>
            </w:r>
          </w:p>
        </w:tc>
      </w:tr>
      <w:tr>
        <w:trPr>
          <w:trHeight w:val="230"/>
        </w:trPr>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r>
      <w:tr>
        <w:trPr>
          <w:trHeight w:val="223"/>
        </w:trPr>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10,397</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6,308</w:t>
            </w:r>
          </w:p>
        </w:tc>
      </w:tr>
      <w:tr>
        <w:trPr>
          <w:trHeight w:val="642"/>
        </w:trPr>
        <w:tc>
          <w:tcPr>
            <w:tcW w:w="200" w:type="dxa"/>
            <w:vAlign w:val="bottom"/>
          </w:tcPr>
          <w:p>
            <w:pPr>
              <w:spacing w:after="0"/>
              <w:rPr>
                <w:sz w:val="24"/>
                <w:szCs w:val="24"/>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200" w:type="dxa"/>
            <w:vAlign w:val="bottom"/>
          </w:tcPr>
          <w:p>
            <w:pPr>
              <w:spacing w:after="0"/>
              <w:rPr>
                <w:sz w:val="24"/>
                <w:szCs w:val="24"/>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237,523</w:t>
            </w:r>
          </w:p>
        </w:tc>
        <w:tc>
          <w:tcPr>
            <w:tcW w:w="5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233,902</w:t>
            </w:r>
          </w:p>
        </w:tc>
      </w:tr>
      <w:tr>
        <w:trPr>
          <w:trHeight w:val="230"/>
        </w:trPr>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28"/>
        </w:trPr>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(154,529)</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(130,651)</w:t>
            </w:r>
          </w:p>
        </w:tc>
      </w:tr>
    </w:tbl>
    <w:p>
      <w:pPr>
        <w:spacing w:after="0" w:line="1" w:lineRule="exact"/>
        <w:rPr>
          <w:sz w:val="20"/>
          <w:szCs w:val="20"/>
          <w:color w:val="auto"/>
        </w:rPr>
      </w:pPr>
    </w:p>
    <w:p>
      <w:pPr>
        <w:sectPr>
          <w:pgSz w:w="11900" w:h="16838" w:orient="portrait"/>
          <w:cols w:equalWidth="0" w:num="2">
            <w:col w:w="7780" w:space="340"/>
            <w:col w:w="3300"/>
          </w:cols>
          <w:pgMar w:left="240" w:top="472" w:right="239" w:bottom="1440" w:gutter="0" w:footer="0" w:header="0"/>
        </w:sectPr>
      </w:pPr>
    </w:p>
    <w:tbl>
      <w:tblPr>
        <w:tblLayout w:type="fixed"/>
        <w:tblInd w:w="0" w:type="dxa"/>
        <w:tblCellMar>
          <w:top w:w="0" w:type="dxa"/>
          <w:left w:w="0" w:type="dxa"/>
          <w:bottom w:w="0" w:type="dxa"/>
          <w:right w:w="0" w:type="dxa"/>
        </w:tblCellMar>
      </w:tblPr>
      <w:tr>
        <w:trPr>
          <w:trHeight w:val="225"/>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82,804</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103,050</w:t>
            </w:r>
          </w:p>
        </w:tc>
      </w:tr>
      <w:tr>
        <w:trPr>
          <w:trHeight w:val="250"/>
        </w:trPr>
        <w:tc>
          <w:tcPr>
            <w:tcW w:w="81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93,201</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109,358</w:t>
            </w:r>
          </w:p>
        </w:tc>
      </w:tr>
      <w:tr>
        <w:trPr>
          <w:trHeight w:val="20"/>
        </w:trPr>
        <w:tc>
          <w:tcPr>
            <w:tcW w:w="8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Three Months Ended June 30,</w:t>
            </w:r>
          </w:p>
        </w:tc>
        <w:tc>
          <w:tcPr>
            <w:tcW w:w="220" w:type="dxa"/>
            <w:vAlign w:val="bottom"/>
          </w:tcPr>
          <w:p>
            <w:pPr>
              <w:spacing w:after="0"/>
              <w:rPr>
                <w:sz w:val="18"/>
                <w:szCs w:val="18"/>
                <w:color w:val="auto"/>
              </w:rPr>
            </w:pPr>
          </w:p>
        </w:tc>
        <w:tc>
          <w:tcPr>
            <w:tcW w:w="26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(unaudited)</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11,216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4,382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19,028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2,399</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2,039</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4,835</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13,615</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6,421</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23,863</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(13,615)</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loss: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exchange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other loss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90"/>
        </w:trPr>
        <w:tc>
          <w:tcPr>
            <w:tcW w:w="5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(0.42)</w:t>
            </w:r>
          </w:p>
        </w:tc>
        <w:tc>
          <w:tcPr>
            <w:tcW w:w="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6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32,378,412</w:t>
            </w:r>
          </w:p>
        </w:tc>
        <w:tc>
          <w:tcPr>
            <w:tcW w:w="2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31,287,855</w:t>
            </w:r>
          </w:p>
        </w:tc>
        <w:tc>
          <w:tcPr>
            <w:tcW w:w="2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32,333,199</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29,474,783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Three Months Ended June 30,</w:t>
            </w:r>
          </w:p>
        </w:tc>
        <w:tc>
          <w:tcPr>
            <w:tcW w:w="220" w:type="dxa"/>
            <w:vAlign w:val="bottom"/>
          </w:tcPr>
          <w:p>
            <w:pPr>
              <w:spacing w:after="0"/>
              <w:rPr>
                <w:sz w:val="18"/>
                <w:szCs w:val="18"/>
                <w:color w:val="auto"/>
              </w:rPr>
            </w:pPr>
          </w:p>
        </w:tc>
        <w:tc>
          <w:tcPr>
            <w:tcW w:w="26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(unaudited)</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(unaudited)</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317</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(unaudited)</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(23,879)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Deferred rent</w:t>
            </w:r>
          </w:p>
        </w:tc>
        <w:tc>
          <w:tcPr>
            <w:tcW w:w="1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Expenditure on building construction</w:t>
            </w:r>
          </w:p>
        </w:tc>
        <w:tc>
          <w:tcPr>
            <w:tcW w:w="14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warrants, net</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Issuance of common stock under stock option plan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subscription receivable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offering costs</w:t>
            </w:r>
          </w:p>
        </w:tc>
        <w:tc>
          <w:tcPr>
            <w:tcW w:w="1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1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72" w:right="239" w:bottom="1440" w:gutter="0" w:footer="0" w:header="0"/>
        </w:sectPr>
      </w:pPr>
    </w:p>
    <w:p>
      <w:pPr>
        <w:spacing w:after="0"/>
        <w:rPr>
          <w:sz w:val="20"/>
          <w:szCs w:val="20"/>
          <w:color w:val="auto"/>
        </w:rPr>
      </w:pPr>
      <w:r>
        <w:rPr>
          <w:rFonts w:ascii="Arial" w:cs="Arial" w:eastAsia="Arial" w:hAnsi="Arial"/>
          <w:sz w:val="18"/>
          <w:szCs w:val="18"/>
          <w:color w:val="auto"/>
        </w:rPr>
        <w:t>Net change in 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60,053</w:t>
            </w:r>
          </w:p>
        </w:tc>
      </w:tr>
      <w:tr>
        <w:trPr>
          <w:trHeight w:val="230"/>
        </w:trPr>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91,051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57,329</w:t>
            </w:r>
          </w:p>
        </w:tc>
      </w:tr>
      <w:tr>
        <w:trPr>
          <w:trHeight w:val="223"/>
        </w:trPr>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64,798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117,382</w:t>
            </w: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400" w:space="720"/>
            <w:col w:w="3300"/>
          </w:cols>
          <w:pgMar w:left="240" w:top="472"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1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4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purchases of property and equipment</w:t>
            </w:r>
          </w:p>
        </w:tc>
        <w:tc>
          <w:tcPr>
            <w:tcW w:w="4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581,193</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54,241</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Accrued expenditure on building construction</w:t>
            </w:r>
          </w:p>
        </w:tc>
        <w:tc>
          <w:tcPr>
            <w:tcW w:w="4100" w:type="dxa"/>
            <w:vAlign w:val="bottom"/>
          </w:tcPr>
          <w:p>
            <w:pPr>
              <w:jc w:val="right"/>
              <w:ind w:right="510"/>
              <w:spacing w:after="0"/>
              <w:rPr>
                <w:sz w:val="20"/>
                <w:szCs w:val="20"/>
                <w:color w:val="auto"/>
              </w:rPr>
            </w:pPr>
            <w:r>
              <w:rPr>
                <w:rFonts w:ascii="Arial" w:cs="Arial" w:eastAsia="Arial" w:hAnsi="Arial"/>
                <w:sz w:val="18"/>
                <w:szCs w:val="18"/>
                <w:color w:val="auto"/>
              </w:rPr>
              <w:t>1,550,270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XBiotech, Inc. (“XBiotech” or “the Company”) was incorporated in Canada on March 22, 2005. XBiotech USA Inc., a wholly-owned subsidiary of the Company, was incorporated in Delaware, United States (“U.S.”) in November 2007. XBiotech Schweiz AG, a wholly-owned subsidiary of the Company, was incorporated in Zug, Switzerland in August 2010. XBiotech Japan KK, a wholly-owned subsidiary of the Company, was incorporated in Tokyo, Japan in March 2013. XBiotech GmbH, a wholly-owned subsidiary of the Company, was incorporated in Germany in January 2014.</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Since its inception, XBiotech has focused on advancing technology to rapidly identify and clone antibodies from individuals that have resistance to disease.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the heart of the Company is a proprietary technical knowhow to translate natural human immunity into therapeutic product candidates.</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2005, the Company began to develop a new framework for commercial manufacturing, using technology that required less capital, fewer operators and provided greater flexibility than standard industry practices.</w:t>
      </w:r>
    </w:p>
    <w:p>
      <w:pPr>
        <w:spacing w:after="0" w:line="174"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With the manufacturing capability to produce its True Human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antibody therapy, in 2010 the Company began a clinical trial program. The first clinical trial program at MD Anderson Cancer Center began treating the sickest cancer patients irrespective of tumor type. Soon thereafter, the Company used the same antibody therapy in various clinical studies at treatment centers around the U.S. and abroad to investigate the antibody effect in patients that had vascular disease, leukemia, type 2 diabetes, psoriasis or acne.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headquarters are located in Austin, Texas.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trials, is expected to depend on the amount and timing of cash receipts from future collaboration or product sales and/or financing transactions.</w:t>
      </w:r>
    </w:p>
    <w:p>
      <w:pPr>
        <w:spacing w:after="0" w:line="150" w:lineRule="exact"/>
        <w:rPr>
          <w:sz w:val="20"/>
          <w:szCs w:val="20"/>
          <w:color w:val="auto"/>
        </w:rPr>
      </w:pPr>
    </w:p>
    <w:p>
      <w:pPr>
        <w:ind w:right="8840" w:firstLine="8"/>
        <w:spacing w:after="0" w:line="533" w:lineRule="auto"/>
        <w:tabs>
          <w:tab w:leader="none" w:pos="1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Basis of Presentation</w:t>
      </w:r>
    </w:p>
    <w:p>
      <w:pPr>
        <w:spacing w:after="0"/>
        <w:rPr>
          <w:sz w:val="20"/>
          <w:szCs w:val="20"/>
          <w:color w:val="auto"/>
        </w:rPr>
      </w:pPr>
      <w:r>
        <w:rPr>
          <w:rFonts w:ascii="Arial" w:cs="Arial" w:eastAsia="Arial" w:hAnsi="Arial"/>
          <w:sz w:val="16"/>
          <w:szCs w:val="16"/>
          <w:color w:val="auto"/>
        </w:rPr>
        <w:t>These consolidated financial statements have been prepared in conformity with accounting principles generally accepted in the United States, or US GAAP.</w:t>
      </w:r>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These interim unaudited consolidated financial statements have been prepared in accordance with accounting principles generally accepted in the United States, or GAAP, and Securities and Exchange Commission, or SEC, requirements for interim financial statements. In the Company’s opinion, the accompanying unaudited consolidated financial statements have been prepared on the same basis as the audited consolidated financial statements and include all adjustments, consisting of normal, recurring adjustments, necessary for a fair presentation. Certain information and disclosures normally included in the notes to the annual consolidated financial statements prepared in accordance with GAAP have been omitted from these interim unaudited consolidated financial statements pursuant to the rules and regulations of the SEC. Accordingly, these interim unaudited consolidated financial statements should be read in conjunction with the consolidated financial statements and the accompanying notes for the fiscal year ended December 31, 2015, which are included in the Company’s Annual Report on Form 10-K, filed with the SEC on March 30, 2016. The results of operations for the three month and six month periods ended June 30, 2016 are not necessarily indicative of the results to be expected for the year ending December 31, 2016 or for any other period.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make estimates and assumptions that affect the reported values of amounts in the financial statements and accompanying notes. Actual results could differ from those estimates.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completion of its initial public offering in April 2015, the Company utilized significant estimates and assumptions in determining the fair value of its common stock. The board of directors determined the estimated fair value of the Company’s common stock based on a number of objective and subjective factors, including the prices at which the Company sold shares of its common stock to third parties and external market conditions affecting the biotechnology industry sector.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research services, the costs of laboratory equipment and facilities, license fees and other external costs. Costs incurred to acquire licenses for intellectual property to be used in research and development activities with no alternative future use are expensed as incurred as research and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Nonrefundable advance payments for goods or services to be received in the future for use in research and development activities are deferred and capitalized.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capitalized amounts are expensed as the related goods are delivered or the services are performed.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makes estimates and judgments in determining the need for a provision for income taxes, including the estimation of its taxable income or loss for the each full fiscal year. The Company has accumulated significant deferred tax assets that reflect the tax effects of net operating loss and tax credit carryovers and temporary difference between the carrying amounts of assets and liabilities for financial reporting purposes and the amounts used for income tax purposes. Realization of certain deferred tax assets is dependent upon future earnings. The Company is uncertain about the timing and amount of any future earnings. Accordingly, the Company offsets these deferred tax assets with a valuation allowance. The Company may in the future determine that certain deferred tax assets will likely be realized, in which case the Company will reduce its valuation allowance in the period in which such determination is made. If the valuation allowance is reduced, the Company may recognize a benefit from income taxes in its statement of operations in that period. The Company classifies interest recognized pursuant to its deferred tax assets as interest expense, when appropriate.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The Company accounts for its share-based compensation awards 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For awards subject to service-based vesting conditions, the Company recognizes share-based compensation expense, equal to the grant date fair value of stock options on a straight-line basis over the requisite service period.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Share-based compensation expense recognized for the three months and six months ended June 30, 2016 and 2015 was included in the following line items on the Consolidated Statement of Operations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19"/>
                <w:szCs w:val="19"/>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587</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511</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726</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1,730</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1,493</w:t>
            </w: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1,097</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1,247</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2,914</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2,469</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is estimated on the date of grant using the Black-Scholes method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95"/>
              </w:rPr>
              <w:t>Three Months Ended</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Six Months Ended</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2016</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2015</w:t>
            </w: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2016</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2015</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120"/>
              <w:spacing w:after="0"/>
              <w:rPr>
                <w:sz w:val="20"/>
                <w:szCs w:val="20"/>
                <w:color w:val="auto"/>
              </w:rPr>
            </w:pPr>
            <w:r>
              <w:rPr>
                <w:rFonts w:ascii="Arial" w:cs="Arial" w:eastAsia="Arial" w:hAnsi="Arial"/>
                <w:sz w:val="18"/>
                <w:szCs w:val="18"/>
                <w:color w:val="auto"/>
              </w:rPr>
              <w:t>70%</w:t>
            </w:r>
          </w:p>
        </w:tc>
        <w:tc>
          <w:tcPr>
            <w:tcW w:w="7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71%</w:t>
            </w:r>
          </w:p>
        </w:tc>
        <w:tc>
          <w:tcPr>
            <w:tcW w:w="7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40"/>
              <w:spacing w:after="0"/>
              <w:rPr>
                <w:sz w:val="20"/>
                <w:szCs w:val="20"/>
                <w:color w:val="auto"/>
              </w:rPr>
            </w:pPr>
            <w:r>
              <w:rPr>
                <w:rFonts w:ascii="Arial" w:cs="Arial" w:eastAsia="Arial" w:hAnsi="Arial"/>
                <w:sz w:val="18"/>
                <w:szCs w:val="18"/>
                <w:color w:val="auto"/>
              </w:rPr>
              <w:t>70%</w:t>
            </w: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1.51%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1.82%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740" w:type="dxa"/>
            <w:vAlign w:val="bottom"/>
          </w:tcPr>
          <w:p>
            <w:pPr>
              <w:jc w:val="right"/>
              <w:spacing w:after="0"/>
              <w:rPr>
                <w:sz w:val="20"/>
                <w:szCs w:val="20"/>
                <w:color w:val="auto"/>
              </w:rPr>
            </w:pPr>
            <w:r>
              <w:rPr>
                <w:rFonts w:ascii="Arial" w:cs="Arial" w:eastAsia="Arial" w:hAnsi="Arial"/>
                <w:sz w:val="18"/>
                <w:szCs w:val="18"/>
                <w:color w:val="auto"/>
              </w:rPr>
              <w:t>5.25</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120"/>
              <w:spacing w:after="0"/>
              <w:rPr>
                <w:sz w:val="20"/>
                <w:szCs w:val="20"/>
                <w:color w:val="auto"/>
              </w:rPr>
            </w:pPr>
            <w:r>
              <w:rPr>
                <w:rFonts w:ascii="Arial" w:cs="Arial" w:eastAsia="Arial" w:hAnsi="Arial"/>
                <w:sz w:val="18"/>
                <w:szCs w:val="18"/>
                <w:color w:val="auto"/>
              </w:rPr>
              <w:t>6.25</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20"/>
              <w:spacing w:after="0"/>
              <w:rPr>
                <w:sz w:val="20"/>
                <w:szCs w:val="20"/>
                <w:color w:val="auto"/>
              </w:rPr>
            </w:pPr>
            <w:r>
              <w:rPr>
                <w:rFonts w:ascii="Arial" w:cs="Arial" w:eastAsia="Arial" w:hAnsi="Arial"/>
                <w:sz w:val="18"/>
                <w:szCs w:val="18"/>
                <w:color w:val="auto"/>
              </w:rPr>
              <w:t>10</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40"/>
              <w:spacing w:after="0"/>
              <w:rPr>
                <w:sz w:val="20"/>
                <w:szCs w:val="20"/>
                <w:color w:val="auto"/>
              </w:rPr>
            </w:pPr>
            <w:r>
              <w:rPr>
                <w:rFonts w:ascii="Arial" w:cs="Arial" w:eastAsia="Arial" w:hAnsi="Arial"/>
                <w:sz w:val="18"/>
                <w:szCs w:val="18"/>
                <w:color w:val="auto"/>
              </w:rPr>
              <w:t>10</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Weighted-average grant date fair value per</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7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right="710"/>
              <w:spacing w:after="0"/>
              <w:rPr>
                <w:sz w:val="20"/>
                <w:szCs w:val="20"/>
                <w:color w:val="auto"/>
              </w:rPr>
            </w:pPr>
            <w:r>
              <w:rPr>
                <w:rFonts w:ascii="Arial" w:cs="Arial" w:eastAsia="Arial" w:hAnsi="Arial"/>
                <w:sz w:val="18"/>
                <w:szCs w:val="18"/>
                <w:color w:val="auto"/>
                <w:w w:val="88"/>
              </w:rPr>
              <w:t>$8.17</w:t>
            </w:r>
          </w:p>
        </w:tc>
        <w:tc>
          <w:tcPr>
            <w:tcW w:w="78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$13.01</w:t>
            </w:r>
          </w:p>
        </w:tc>
        <w:tc>
          <w:tcPr>
            <w:tcW w:w="7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$6.64</w:t>
            </w:r>
          </w:p>
        </w:tc>
        <w:tc>
          <w:tcPr>
            <w:tcW w:w="7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$11.49</w:t>
            </w: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related tax benefits were recognized for the three months and six months ended June 30, 2016 and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considers highly liquid investments with a maturity of three months or less when purchased to be cash equivalents. Cash and cash equivalents consisted primarily of cash on deposit in U.S., German, Swiss and Canadian banks. Cash and cash equivalents are stated at cost which approximates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81" w:lineRule="exact"/>
        <w:rPr>
          <w:sz w:val="20"/>
          <w:szCs w:val="20"/>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23" w:lineRule="exact"/>
        <w:rPr>
          <w:rFonts w:ascii="Arial" w:cs="Arial" w:eastAsia="Arial" w:hAnsi="Arial"/>
          <w:sz w:val="18"/>
          <w:szCs w:val="18"/>
          <w:color w:val="auto"/>
        </w:rPr>
      </w:pPr>
    </w:p>
    <w:p>
      <w:pPr>
        <w:ind w:left="880" w:right="600" w:hanging="332"/>
        <w:spacing w:after="0" w:line="261"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2" w:name="page13"/>
    <w:bookmarkEnd w:id="12"/>
    <w:p>
      <w:pPr>
        <w:ind w:left="880" w:right="220" w:hanging="33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At June 30, 2016 and December 31, 2015, the Company did not have any assets or liabilities that are measured at fair value on a recurring basis. The carrying amounts reflected in the balance sheets for cash and cash equivalents, prepaid expenses and other current assets, accounts payable, and accrued expenses approximate their fair values at June 30, 2016 and December 31, 2015, due to their short-term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Property and equipment, which consists of land, construction in process, furniture and fixtures, computers and office equipment, scientific equipment, leasehold improvements and vehicles are stated at cost and depreciated over the estimated useful lives of the assets, with the exception of land and construction in process which are not depreciated, using the straight line method. The useful lives are as follows:</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 Furniture and fixtures (in years)</w:t>
            </w:r>
          </w:p>
        </w:tc>
        <w:tc>
          <w:tcPr>
            <w:tcW w:w="4920" w:type="dxa"/>
            <w:vAlign w:val="bottom"/>
          </w:tcPr>
          <w:p>
            <w:pPr>
              <w:ind w:left="1160"/>
              <w:spacing w:after="0"/>
              <w:rPr>
                <w:sz w:val="20"/>
                <w:szCs w:val="20"/>
                <w:color w:val="auto"/>
              </w:rPr>
            </w:pPr>
            <w:r>
              <w:rPr>
                <w:rFonts w:ascii="Arial" w:cs="Arial" w:eastAsia="Arial" w:hAnsi="Arial"/>
                <w:sz w:val="18"/>
                <w:szCs w:val="18"/>
                <w:color w:val="auto"/>
              </w:rPr>
              <w:t>7</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 Office equipment (in years)</w:t>
            </w:r>
          </w:p>
        </w:tc>
        <w:tc>
          <w:tcPr>
            <w:tcW w:w="4920" w:type="dxa"/>
            <w:vAlign w:val="bottom"/>
          </w:tcPr>
          <w:p>
            <w:pPr>
              <w:ind w:left="1160"/>
              <w:spacing w:after="0"/>
              <w:rPr>
                <w:sz w:val="20"/>
                <w:szCs w:val="20"/>
                <w:color w:val="auto"/>
              </w:rPr>
            </w:pPr>
            <w:r>
              <w:rPr>
                <w:rFonts w:ascii="Arial" w:cs="Arial" w:eastAsia="Arial" w:hAnsi="Arial"/>
                <w:sz w:val="18"/>
                <w:szCs w:val="18"/>
                <w:color w:val="auto"/>
              </w:rPr>
              <w:t>5</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 Leasehold improvements</w:t>
            </w:r>
          </w:p>
        </w:tc>
        <w:tc>
          <w:tcPr>
            <w:tcW w:w="4920" w:type="dxa"/>
            <w:vAlign w:val="bottom"/>
          </w:tcPr>
          <w:p>
            <w:pPr>
              <w:ind w:left="1160"/>
              <w:spacing w:after="0"/>
              <w:rPr>
                <w:sz w:val="20"/>
                <w:szCs w:val="20"/>
                <w:color w:val="auto"/>
              </w:rPr>
            </w:pPr>
            <w:r>
              <w:rPr>
                <w:rFonts w:ascii="Arial" w:cs="Arial" w:eastAsia="Arial" w:hAnsi="Arial"/>
                <w:sz w:val="18"/>
                <w:szCs w:val="18"/>
                <w:color w:val="auto"/>
                <w:w w:val="90"/>
              </w:rPr>
              <w:t>Shorter of asset’s useful life or remaining lease term</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 Scientific equipment (in years)</w:t>
            </w:r>
          </w:p>
        </w:tc>
        <w:tc>
          <w:tcPr>
            <w:tcW w:w="4920" w:type="dxa"/>
            <w:vAlign w:val="bottom"/>
          </w:tcPr>
          <w:p>
            <w:pPr>
              <w:ind w:left="1160"/>
              <w:spacing w:after="0"/>
              <w:rPr>
                <w:sz w:val="20"/>
                <w:szCs w:val="20"/>
                <w:color w:val="auto"/>
              </w:rPr>
            </w:pPr>
            <w:r>
              <w:rPr>
                <w:rFonts w:ascii="Arial" w:cs="Arial" w:eastAsia="Arial" w:hAnsi="Arial"/>
                <w:sz w:val="18"/>
                <w:szCs w:val="18"/>
                <w:color w:val="auto"/>
              </w:rPr>
              <w:t>5</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 Vehicles (in years)</w:t>
            </w:r>
          </w:p>
        </w:tc>
        <w:tc>
          <w:tcPr>
            <w:tcW w:w="4920" w:type="dxa"/>
            <w:vAlign w:val="bottom"/>
          </w:tcPr>
          <w:p>
            <w:pPr>
              <w:ind w:left="116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Construction in Progress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Building construction in progress consists of the accumulated expenditures to build the new XBiotech manufacturing facility located in Austin, Texas, which includes the cost for land clearing, architecture design, engineering services, city permits, installation of utilities, construction materials and labor and construction management. Once the building is completed and placed into service, the Company will commence depreciation over its estimated useful life. As of June 30, 2016, the Company plans to spend $2.2 million more on construction and $6.7 million more on equipment, based on the forecast.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Potential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June 30,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considered events or transactions occurring after the balance sheet date but prior to the date the consolidated financial statements are available to be issued for potential recognition or disclosure in its consolidated financial statements. The Company has evaluated subsequent events through the date the consolidated financial statements were available for issuance for potential recognition or disclosure in its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August 2014, the FASB issued ASU 2014-15</w:t>
      </w:r>
      <w:r>
        <w:rPr>
          <w:rFonts w:ascii="Arial" w:cs="Arial" w:eastAsia="Arial" w:hAnsi="Arial"/>
          <w:sz w:val="18"/>
          <w:szCs w:val="18"/>
          <w:i w:val="1"/>
          <w:iCs w:val="1"/>
          <w:color w:val="auto"/>
        </w:rPr>
        <w:t>, Disclosure of Uncertainties about an Entity’s Ability to Continue as a Going Concern</w:t>
      </w:r>
      <w:r>
        <w:rPr>
          <w:rFonts w:ascii="Arial" w:cs="Arial" w:eastAsia="Arial" w:hAnsi="Arial"/>
          <w:sz w:val="18"/>
          <w:szCs w:val="18"/>
          <w:color w:val="auto"/>
        </w:rPr>
        <w:t>. The ASU is intended to define management’s responsibility to evaluate whether there is substantial doubt about an organization’s ability to continue as a going concern and to provide related footnote disclosures. For all entities, the ASU is effective for annual periods ending after December 15, 2016 and interim periods within annual periods beginning after December 15, 2016. The Company is currently evaluating the effect that the adoption of ASU 2014-15 will have on its financial statements.</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February 2016, the FASB issued ASU 2016-02, Leases (Topic 842). The core change with ASU 2016-2 is the requirement for the recognition of lease assets and lease liabilities by lessees for those leases classified as operating leases under previous GAAP. The new standard is effective for fiscal years, and interim periods within those fiscal years, beginning after December 15, 2018, with early adoption permitted. The Company is currently evaluating the effect that the adoption of ASU 2016-02 will have on its financial statements.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March 2016, the FASB issued ASU No. 2016-09, “Improvements to Employee Share-Based Payment Accounting,” or ASU 2016-09, which amends ASC Topic 718, “Compensation – Stock Compensation.” ASU 2016-09 simplifies several aspects of the accounting for share-based payment transactions, including the income tax consequences, classification of awards as either equity or liabilities, and classification on the statement of cash flows. The standard is effective for fiscal years beginning after December 31, 2016, and interim periods within those years and early adoption is permitted. The Company is currently evaluating how the adoption of this standard will impact its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3. Income Taxes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did not provide for income taxes in 2016 because the Company has projected net loss for all jurisdictions for the full year 2016. The Company has recorded a full valuation allowance for its net deferred tax assets in 2016 and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Pursuant to its Articles, the Company has an unlimited number of shares available for issuance with no par value.</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From January to March 2015, warrants to purchase a total of 164,999 shares of common stock were exercised at $15.00 per share for a total of $2.4 million in proceeds. Also, the Company received approximately $8,000 in January 2015 from 15,000 exercised stock options at $0.55 per share.</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April 17, 2015, the Company sold 4.0 million shares of common stock at $19.00 per share in its Initial Public Offering (“IPO”) resulting in net proceeds of $70.6 million.</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From April to June 2015, excluding the IPO, the Company issued 208,333 shares of common stock for total proceeds of approximately $3.1 million from the exercise of warrants by common stock shareholders. Also, the Company received $0.7 million from 106,000 exercised stock options.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July 2015, 12,000 stock options were exercised at a price of $2.50 for total proceeds of $30,000.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October through December 31, 2015, 226,141 shares of common stock were issued upon the exercise of stock option at the price $ 0.53 to $10 per share for a total of $639,253.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January 2016, 13,000 stock options were exercised at a price of $2.50 for total proceeds of $32,500 on January 28</w:t>
      </w:r>
      <w:r>
        <w:rPr>
          <w:rFonts w:ascii="Arial" w:cs="Arial" w:eastAsia="Arial" w:hAnsi="Arial"/>
          <w:sz w:val="30"/>
          <w:szCs w:val="30"/>
          <w:color w:val="auto"/>
          <w:vertAlign w:val="superscript"/>
        </w:rPr>
        <w:t>th</w:t>
      </w:r>
      <w:r>
        <w:rPr>
          <w:rFonts w:ascii="Arial" w:cs="Arial" w:eastAsia="Arial" w:hAnsi="Arial"/>
          <w:sz w:val="18"/>
          <w:szCs w:val="18"/>
          <w:color w:val="auto"/>
        </w:rPr>
        <w:t>.</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From April to June 2016, 136,570 shares of common stock were issued upon the exercise of stock options at a price of $ 2.50 to $15 per share for a total of $674,758.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Common Stock Options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each of November 11, 2005 and March 13, 2015, the board of directors of the Company adopted a stock option plan (collectively, “the Plans”) pursuant to which the Company may grant stock options to directors, officers, employees or consultants of the Company or an affiliate or other persons as the Compensation Committee may approve.</w:t>
      </w:r>
    </w:p>
    <w:p>
      <w:pPr>
        <w:spacing w:after="0" w:line="1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 director, officer or employee of or consultant to the Company, or in the event of the termination of the participant with cause, the date of such termination.</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the Plans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A summary of changes in common stock options issued under the Plan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at December 31, 2015</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Granted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at March 31, 2016</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Granted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at June 30,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w w:val="89"/>
              </w:rPr>
              <w:t>Weighted-Average</w:t>
            </w:r>
          </w:p>
        </w:tc>
      </w:tr>
      <w:tr>
        <w:trPr>
          <w:trHeight w:val="234"/>
        </w:trPr>
        <w:tc>
          <w:tcPr>
            <w:tcW w:w="14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Options</w:t>
            </w:r>
          </w:p>
        </w:tc>
        <w:tc>
          <w:tcPr>
            <w:tcW w:w="188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Exercise Price</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Exercise Price</w:t>
            </w:r>
          </w:p>
        </w:tc>
      </w:tr>
      <w:tr>
        <w:trPr>
          <w:trHeight w:val="250"/>
        </w:trPr>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4,786,577</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$0.53</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$21.99</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$8.56</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2"/>
        </w:trPr>
        <w:tc>
          <w:tcPr>
            <w:tcW w:w="1480" w:type="dxa"/>
            <w:vAlign w:val="bottom"/>
          </w:tcPr>
          <w:p>
            <w:pPr>
              <w:jc w:val="right"/>
              <w:ind w:right="150"/>
              <w:spacing w:after="0" w:line="182" w:lineRule="exact"/>
              <w:rPr>
                <w:sz w:val="20"/>
                <w:szCs w:val="20"/>
                <w:color w:val="auto"/>
              </w:rPr>
            </w:pPr>
            <w:r>
              <w:rPr>
                <w:rFonts w:ascii="Arial" w:cs="Arial" w:eastAsia="Arial" w:hAnsi="Arial"/>
                <w:sz w:val="18"/>
                <w:szCs w:val="18"/>
                <w:color w:val="auto"/>
              </w:rPr>
              <w:t>357,833</w:t>
            </w:r>
          </w:p>
        </w:tc>
        <w:tc>
          <w:tcPr>
            <w:tcW w:w="680" w:type="dxa"/>
            <w:vAlign w:val="bottom"/>
          </w:tcPr>
          <w:p>
            <w:pPr>
              <w:jc w:val="center"/>
              <w:spacing w:after="0" w:line="182" w:lineRule="exact"/>
              <w:rPr>
                <w:sz w:val="20"/>
                <w:szCs w:val="20"/>
                <w:color w:val="auto"/>
              </w:rPr>
            </w:pPr>
            <w:r>
              <w:rPr>
                <w:rFonts w:ascii="Arial" w:cs="Arial" w:eastAsia="Arial" w:hAnsi="Arial"/>
                <w:sz w:val="18"/>
                <w:szCs w:val="18"/>
                <w:color w:val="auto"/>
                <w:w w:val="91"/>
              </w:rPr>
              <w:t>7.71</w:t>
            </w:r>
          </w:p>
        </w:tc>
        <w:tc>
          <w:tcPr>
            <w:tcW w:w="500" w:type="dxa"/>
            <w:vAlign w:val="bottom"/>
          </w:tcPr>
          <w:p>
            <w:pPr>
              <w:jc w:val="center"/>
              <w:spacing w:after="0" w:line="182" w:lineRule="exact"/>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line="182" w:lineRule="exact"/>
              <w:rPr>
                <w:sz w:val="20"/>
                <w:szCs w:val="20"/>
                <w:color w:val="auto"/>
              </w:rPr>
            </w:pPr>
            <w:r>
              <w:rPr>
                <w:rFonts w:ascii="Arial" w:cs="Arial" w:eastAsia="Arial" w:hAnsi="Arial"/>
                <w:sz w:val="18"/>
                <w:szCs w:val="18"/>
                <w:color w:val="auto"/>
                <w:w w:val="91"/>
              </w:rPr>
              <w:t>9.45</w:t>
            </w:r>
          </w:p>
        </w:tc>
        <w:tc>
          <w:tcPr>
            <w:tcW w:w="260" w:type="dxa"/>
            <w:vAlign w:val="bottom"/>
          </w:tcPr>
          <w:p>
            <w:pPr>
              <w:spacing w:after="0"/>
              <w:rPr>
                <w:sz w:val="15"/>
                <w:szCs w:val="15"/>
                <w:color w:val="auto"/>
              </w:rPr>
            </w:pPr>
          </w:p>
        </w:tc>
        <w:tc>
          <w:tcPr>
            <w:tcW w:w="13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8.01</w:t>
            </w:r>
          </w:p>
        </w:tc>
      </w:tr>
      <w:tr>
        <w:trPr>
          <w:trHeight w:val="230"/>
        </w:trPr>
        <w:tc>
          <w:tcPr>
            <w:tcW w:w="1480" w:type="dxa"/>
            <w:vAlign w:val="bottom"/>
          </w:tcPr>
          <w:p>
            <w:pPr>
              <w:jc w:val="right"/>
              <w:ind w:right="90"/>
              <w:spacing w:after="0"/>
              <w:rPr>
                <w:sz w:val="20"/>
                <w:szCs w:val="20"/>
                <w:color w:val="auto"/>
              </w:rPr>
            </w:pPr>
            <w:r>
              <w:rPr>
                <w:rFonts w:ascii="Arial" w:cs="Arial" w:eastAsia="Arial" w:hAnsi="Arial"/>
                <w:sz w:val="18"/>
                <w:szCs w:val="18"/>
                <w:color w:val="auto"/>
              </w:rPr>
              <w:t>(13,000)</w:t>
            </w:r>
          </w:p>
        </w:tc>
        <w:tc>
          <w:tcPr>
            <w:tcW w:w="6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1"/>
              </w:rPr>
              <w:t>2.50</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2.50</w:t>
            </w:r>
          </w:p>
        </w:tc>
      </w:tr>
      <w:tr>
        <w:trPr>
          <w:trHeight w:val="230"/>
        </w:trPr>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(48,250)</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0.55</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16.91</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11.50</w:t>
            </w:r>
          </w:p>
        </w:tc>
      </w:tr>
      <w:tr>
        <w:trPr>
          <w:trHeight w:val="250"/>
        </w:trPr>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5,083,160</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$0.55</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$21.99</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8.00</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2"/>
        </w:trPr>
        <w:tc>
          <w:tcPr>
            <w:tcW w:w="1480" w:type="dxa"/>
            <w:vAlign w:val="bottom"/>
          </w:tcPr>
          <w:p>
            <w:pPr>
              <w:jc w:val="right"/>
              <w:ind w:right="150"/>
              <w:spacing w:after="0" w:line="182" w:lineRule="exact"/>
              <w:rPr>
                <w:sz w:val="20"/>
                <w:szCs w:val="20"/>
                <w:color w:val="auto"/>
              </w:rPr>
            </w:pPr>
            <w:r>
              <w:rPr>
                <w:rFonts w:ascii="Arial" w:cs="Arial" w:eastAsia="Arial" w:hAnsi="Arial"/>
                <w:sz w:val="18"/>
                <w:szCs w:val="18"/>
                <w:color w:val="auto"/>
              </w:rPr>
              <w:t>398,500</w:t>
            </w:r>
          </w:p>
        </w:tc>
        <w:tc>
          <w:tcPr>
            <w:tcW w:w="680" w:type="dxa"/>
            <w:vAlign w:val="bottom"/>
          </w:tcPr>
          <w:p>
            <w:pPr>
              <w:jc w:val="center"/>
              <w:spacing w:after="0" w:line="182" w:lineRule="exact"/>
              <w:rPr>
                <w:sz w:val="20"/>
                <w:szCs w:val="20"/>
                <w:color w:val="auto"/>
              </w:rPr>
            </w:pPr>
            <w:r>
              <w:rPr>
                <w:rFonts w:ascii="Arial" w:cs="Arial" w:eastAsia="Arial" w:hAnsi="Arial"/>
                <w:sz w:val="18"/>
                <w:szCs w:val="18"/>
                <w:color w:val="auto"/>
                <w:w w:val="88"/>
              </w:rPr>
              <w:t>10.00</w:t>
            </w:r>
          </w:p>
        </w:tc>
        <w:tc>
          <w:tcPr>
            <w:tcW w:w="500" w:type="dxa"/>
            <w:vAlign w:val="bottom"/>
          </w:tcPr>
          <w:p>
            <w:pPr>
              <w:jc w:val="center"/>
              <w:spacing w:after="0" w:line="182" w:lineRule="exact"/>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line="182" w:lineRule="exact"/>
              <w:rPr>
                <w:sz w:val="20"/>
                <w:szCs w:val="20"/>
                <w:color w:val="auto"/>
              </w:rPr>
            </w:pPr>
            <w:r>
              <w:rPr>
                <w:rFonts w:ascii="Arial" w:cs="Arial" w:eastAsia="Arial" w:hAnsi="Arial"/>
                <w:sz w:val="18"/>
                <w:szCs w:val="18"/>
                <w:color w:val="auto"/>
                <w:w w:val="88"/>
              </w:rPr>
              <w:t>19.10</w:t>
            </w:r>
          </w:p>
        </w:tc>
        <w:tc>
          <w:tcPr>
            <w:tcW w:w="260" w:type="dxa"/>
            <w:vAlign w:val="bottom"/>
          </w:tcPr>
          <w:p>
            <w:pPr>
              <w:spacing w:after="0"/>
              <w:rPr>
                <w:sz w:val="15"/>
                <w:szCs w:val="15"/>
                <w:color w:val="auto"/>
              </w:rPr>
            </w:pPr>
          </w:p>
        </w:tc>
        <w:tc>
          <w:tcPr>
            <w:tcW w:w="13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13.43</w:t>
            </w:r>
          </w:p>
        </w:tc>
      </w:tr>
      <w:tr>
        <w:trPr>
          <w:trHeight w:val="230"/>
        </w:trPr>
        <w:tc>
          <w:tcPr>
            <w:tcW w:w="1480" w:type="dxa"/>
            <w:vAlign w:val="bottom"/>
          </w:tcPr>
          <w:p>
            <w:pPr>
              <w:jc w:val="right"/>
              <w:ind w:right="90"/>
              <w:spacing w:after="0"/>
              <w:rPr>
                <w:sz w:val="20"/>
                <w:szCs w:val="20"/>
                <w:color w:val="auto"/>
              </w:rPr>
            </w:pPr>
            <w:r>
              <w:rPr>
                <w:rFonts w:ascii="Arial" w:cs="Arial" w:eastAsia="Arial" w:hAnsi="Arial"/>
                <w:sz w:val="18"/>
                <w:szCs w:val="18"/>
                <w:color w:val="auto"/>
              </w:rPr>
              <w:t>(136,570)</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2.50</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15.00</w:t>
            </w:r>
          </w:p>
        </w:tc>
        <w:tc>
          <w:tcPr>
            <w:tcW w:w="2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4.96</w:t>
            </w:r>
          </w:p>
        </w:tc>
      </w:tr>
      <w:tr>
        <w:trPr>
          <w:trHeight w:val="230"/>
        </w:trPr>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(63,375)</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7.71</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16.97</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8.87</w:t>
            </w:r>
          </w:p>
        </w:tc>
      </w:tr>
      <w:tr>
        <w:trPr>
          <w:trHeight w:val="250"/>
        </w:trPr>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5,281,715</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$0.77</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$21.99</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8.48</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00" w:space="380"/>
            <w:col w:w="4940"/>
          </w:cols>
          <w:pgMar w:left="240" w:top="476" w:right="239" w:bottom="1440" w:gutter="0" w:footer="0" w:header="0"/>
        </w:sectPr>
      </w:pPr>
    </w:p>
    <w:p>
      <w:pPr>
        <w:spacing w:after="0" w:line="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June 30, 2016, there was approximately $6.4 million of unrecognized compensation cost, related to stock options granted under the Plan which will be amortized to stock compensation expense over the next 2.96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Share</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summarizes the computation of basic and diluted net loss per share for the three months and six months ended June 30, 2016 and 2015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4"/>
              </w:rPr>
              <w:t>Three Months Ended June 30,</w:t>
            </w:r>
          </w:p>
        </w:tc>
        <w:tc>
          <w:tcPr>
            <w:tcW w:w="300" w:type="dxa"/>
            <w:vAlign w:val="bottom"/>
          </w:tcPr>
          <w:p>
            <w:pPr>
              <w:spacing w:after="0"/>
              <w:rPr>
                <w:sz w:val="19"/>
                <w:szCs w:val="19"/>
                <w:color w:val="auto"/>
              </w:rPr>
            </w:pPr>
          </w:p>
        </w:tc>
        <w:tc>
          <w:tcPr>
            <w:tcW w:w="25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34"/>
        </w:trPr>
        <w:tc>
          <w:tcPr>
            <w:tcW w:w="56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(13,622)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(14,858)</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number of common shares—basic and diluted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32,378,412</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31,287,855</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32,333,199</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29,474,783</w:t>
            </w: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common shares outstanding, because including them would have had an anti-dilutive effect due to the losses reported.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3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Six Months ended June 30,</w:t>
            </w:r>
          </w:p>
        </w:tc>
      </w:tr>
      <w:tr>
        <w:trPr>
          <w:trHeight w:val="234"/>
        </w:trPr>
        <w:tc>
          <w:tcPr>
            <w:tcW w:w="3300" w:type="dxa"/>
            <w:vAlign w:val="bottom"/>
          </w:tcPr>
          <w:p>
            <w:pPr>
              <w:spacing w:after="0"/>
              <w:rPr>
                <w:sz w:val="20"/>
                <w:szCs w:val="20"/>
                <w:color w:val="auto"/>
              </w:rPr>
            </w:pPr>
          </w:p>
        </w:tc>
        <w:tc>
          <w:tcPr>
            <w:tcW w:w="67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2016</w:t>
            </w: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8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5,281,715</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4,952,068</w:t>
            </w:r>
          </w:p>
        </w:tc>
      </w:tr>
      <w:tr>
        <w:trPr>
          <w:trHeight w:val="257"/>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6740" w:type="dxa"/>
            <w:vAlign w:val="bottom"/>
            <w:gridSpan w:val="2"/>
          </w:tcPr>
          <w:p>
            <w:pPr>
              <w:jc w:val="right"/>
              <w:ind w:right="330"/>
              <w:spacing w:after="0"/>
              <w:rPr>
                <w:sz w:val="20"/>
                <w:szCs w:val="20"/>
                <w:color w:val="auto"/>
              </w:rPr>
            </w:pPr>
            <w:r>
              <w:rPr>
                <w:rFonts w:ascii="Arial" w:cs="Arial" w:eastAsia="Arial" w:hAnsi="Arial"/>
                <w:sz w:val="18"/>
                <w:szCs w:val="18"/>
                <w:color w:val="auto"/>
              </w:rPr>
              <w:t>5,281,715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4,952,068</w:t>
            </w: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29"/>
        </w:trPr>
        <w:tc>
          <w:tcPr>
            <w:tcW w:w="3300" w:type="dxa"/>
            <w:vAlign w:val="bottom"/>
          </w:tcPr>
          <w:p>
            <w:pPr>
              <w:spacing w:after="0"/>
              <w:rPr>
                <w:sz w:val="24"/>
                <w:szCs w:val="24"/>
                <w:color w:val="auto"/>
              </w:rPr>
            </w:pPr>
          </w:p>
        </w:tc>
        <w:tc>
          <w:tcPr>
            <w:tcW w:w="4820" w:type="dxa"/>
            <w:vAlign w:val="bottom"/>
          </w:tcPr>
          <w:p>
            <w:pPr>
              <w:jc w:val="right"/>
              <w:ind w:right="2230"/>
              <w:spacing w:after="0"/>
              <w:rPr>
                <w:sz w:val="20"/>
                <w:szCs w:val="20"/>
                <w:color w:val="auto"/>
              </w:rPr>
            </w:pPr>
            <w:r>
              <w:rPr>
                <w:rFonts w:ascii="Arial" w:cs="Arial" w:eastAsia="Arial" w:hAnsi="Arial"/>
                <w:sz w:val="18"/>
                <w:szCs w:val="18"/>
                <w:color w:val="auto"/>
              </w:rPr>
              <w:t>16</w:t>
            </w:r>
          </w:p>
        </w:tc>
        <w:tc>
          <w:tcPr>
            <w:tcW w:w="19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8"/>
        </w:trPr>
        <w:tc>
          <w:tcPr>
            <w:tcW w:w="3300" w:type="dxa"/>
            <w:vAlign w:val="bottom"/>
            <w:shd w:val="clear" w:color="auto" w:fill="000000"/>
          </w:tcPr>
          <w:p>
            <w:pPr>
              <w:spacing w:after="0"/>
              <w:rPr>
                <w:sz w:val="5"/>
                <w:szCs w:val="5"/>
                <w:color w:val="auto"/>
              </w:rPr>
            </w:pPr>
          </w:p>
        </w:tc>
        <w:tc>
          <w:tcPr>
            <w:tcW w:w="4820" w:type="dxa"/>
            <w:vAlign w:val="bottom"/>
            <w:shd w:val="clear" w:color="auto" w:fill="000000"/>
          </w:tcPr>
          <w:p>
            <w:pPr>
              <w:spacing w:after="0"/>
              <w:rPr>
                <w:sz w:val="5"/>
                <w:szCs w:val="5"/>
                <w:color w:val="auto"/>
              </w:rPr>
            </w:pPr>
          </w:p>
        </w:tc>
        <w:tc>
          <w:tcPr>
            <w:tcW w:w="192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76"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7. Commitment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December 1, 2015, a purported securities class action complaint captioned </w:t>
      </w:r>
      <w:r>
        <w:rPr>
          <w:rFonts w:ascii="Arial" w:cs="Arial" w:eastAsia="Arial" w:hAnsi="Arial"/>
          <w:sz w:val="16"/>
          <w:szCs w:val="16"/>
          <w:i w:val="1"/>
          <w:iCs w:val="1"/>
          <w:color w:val="auto"/>
        </w:rPr>
        <w:t>Yogina Rezko v. XBiotech Inc., John Simard, Queena Han and WR Hambrecht</w:t>
      </w:r>
    </w:p>
    <w:p>
      <w:pPr>
        <w:spacing w:after="0" w:line="46" w:lineRule="exact"/>
        <w:rPr>
          <w:sz w:val="20"/>
          <w:szCs w:val="20"/>
          <w:color w:val="auto"/>
        </w:rPr>
      </w:pPr>
    </w:p>
    <w:p>
      <w:pPr>
        <w:ind w:firstLine="8"/>
        <w:spacing w:after="0" w:line="267" w:lineRule="auto"/>
        <w:tabs>
          <w:tab w:leader="none" w:pos="18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 LLC </w:t>
      </w:r>
      <w:r>
        <w:rPr>
          <w:rFonts w:ascii="Arial" w:cs="Arial" w:eastAsia="Arial" w:hAnsi="Arial"/>
          <w:sz w:val="17"/>
          <w:szCs w:val="17"/>
          <w:color w:val="auto"/>
        </w:rPr>
        <w:t>was filed against us, certain of our officers and directors and the underwriter for our initial public offering in the Superior Court for the State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California, Los Angeles County. On December 2, 2015, a purported securities class action complaint captioned </w:t>
      </w:r>
      <w:r>
        <w:rPr>
          <w:rFonts w:ascii="Arial" w:cs="Arial" w:eastAsia="Arial" w:hAnsi="Arial"/>
          <w:sz w:val="17"/>
          <w:szCs w:val="17"/>
          <w:i w:val="1"/>
          <w:iCs w:val="1"/>
          <w:color w:val="auto"/>
        </w:rPr>
        <w:t>Linh Tran v. XBiotech Inc., John Simard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Queena Han </w:t>
      </w:r>
      <w:r>
        <w:rPr>
          <w:rFonts w:ascii="Arial" w:cs="Arial" w:eastAsia="Arial" w:hAnsi="Arial"/>
          <w:sz w:val="17"/>
          <w:szCs w:val="17"/>
          <w:color w:val="auto"/>
        </w:rPr>
        <w:t>was filed against us and certain of our officers and directors in U.S. District Court for the Western District of Texas. The lawsuits are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similar factual allegations and purport to be class actions brought on behalf of purchasers of the Company’s securities during the period from April 15, 2015 through November 23, 2015. The complaint filed in California state court alleges that the defendants violated the Securities Act of 1933, as amended (the “Securities Act”), and the complaint filed in federal court alleges that the defendants violated the Securities Exchange Act of 1934, as amended (the “Exchange Act”), in each case by making materially false and misleading statements concerning the Company’s Phase III clinical trial conducted in Europe to assess Xilonix™ as a treatment for colorectal cancer. The California complaint purports to assert claims for violations of Sections 11, 12(a)(2) and 15 of the Securities Act, and the federal complaint purports to assert claims for violation of Sections 10(b) and 20(a) of the Exchange Act and Rule 10b-5 promulgated thereunder. Both complaints seek, on behalf of the purported class, an unspecified amount of monetary damages, interest, fees and expenses of attorneys and experts, and other relief.</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February 24, 2016, following a proceeding to select a lead plaintiff in the federal case, the court issued an order appointing Mr. Kresimir Corak as lead plaintiff. The plaintiff filed an amended complaint in the federal case on April 8, 2016. We filed a motion to dismiss brief with the court on May 23, 2016, while plaintiffs filed a response brief on July 7, 2016. In the California case, the plaintiffs filed an amended complaint on June 7, 2016. We responded with a demurrer in August 2016. No trial or other dates have been set in either case. We are unable to estimate the outcome of this matter or resulting financial impact to us,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472"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XBiotech is a clinical-stage biopharmaceutical company engaged in discovering and developing True Human™ monoclonal antibodies for treating a variety of different diseases. True Human™ monoclonal antibodies are those which occur naturally in human beings—as opposed to being derived from animal immunization technologies or otherwise engineered. We believe that naturally occurring monoclonal antibodies have the potential to be safer and more effective than their non-naturally occurring counterparts. While primarily focused on bringing our lead product candidate to market, we have also developed a proprietary True Human™ monoclonal antibody discovery platform and manufacturing system.</w:t>
      </w:r>
    </w:p>
    <w:p>
      <w:pPr>
        <w:spacing w:after="0" w:line="188"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We have never been profitable and, as of June 30, 2016, we had an accumulated deficit of $154.5 million. We had net losses of $13.6 million and $23.9 million for three months and six months ended June 30, 2016, respectively, compared to $6.7 million and $14.9 million for three months and six months ended June 30, 2015, respectively.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add personnel and begin to operate as a public company. We will need to generate significant revenues to achieve profitability, and we may never do so. As of June 30, 2016, we had 88 employees.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During the second quarter, XBiotech presented pivotal trial data for Xilonix™ for the treatment of advanced colorectal cancer (CRC) at European Society of Medical Oncology (ESMO) World Congress in Barcelona, Spain.</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XBiotech’s marketing authorization application for Xilonix™ for the treatment of colorectal cancer remains on schedule to possibly achieve a decision in 2016 by the European Medicines Agency Committee for Medicinal Products for Human Use (CHMP).</w:t>
      </w:r>
    </w:p>
    <w:p>
      <w:pPr>
        <w:spacing w:after="0" w:line="170" w:lineRule="exact"/>
        <w:rPr>
          <w:sz w:val="20"/>
          <w:szCs w:val="20"/>
          <w:color w:val="auto"/>
        </w:rPr>
      </w:pPr>
    </w:p>
    <w:p>
      <w:pPr>
        <w:jc w:val="both"/>
        <w:ind w:right="320" w:firstLine="441"/>
        <w:spacing w:after="0" w:line="264" w:lineRule="auto"/>
        <w:rPr>
          <w:sz w:val="20"/>
          <w:szCs w:val="20"/>
          <w:color w:val="auto"/>
        </w:rPr>
      </w:pPr>
      <w:r>
        <w:rPr>
          <w:rFonts w:ascii="Arial" w:cs="Arial" w:eastAsia="Arial" w:hAnsi="Arial"/>
          <w:sz w:val="18"/>
          <w:szCs w:val="18"/>
          <w:color w:val="auto"/>
        </w:rPr>
        <w:t>Construction continued during Q2 2016 on the new manufacturing facility located in Austin, Texas. During the quarter, the build out of the interior administrative and lab spaces continued on schedule. XBiotech anticipates final building completion in August 2016 with plant shakedown and validation starting immediately thereafter.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1080" w:firstLine="441"/>
        <w:spacing w:after="0" w:line="308" w:lineRule="auto"/>
        <w:rPr>
          <w:sz w:val="20"/>
          <w:szCs w:val="20"/>
          <w:color w:val="auto"/>
        </w:rPr>
      </w:pPr>
      <w:r>
        <w:rPr>
          <w:rFonts w:ascii="Arial" w:cs="Arial" w:eastAsia="Arial" w:hAnsi="Arial"/>
          <w:sz w:val="17"/>
          <w:szCs w:val="17"/>
          <w:color w:val="auto"/>
        </w:rPr>
        <w:t>To date, we have not generated any revenue. Our ability to generate revenue and become profitable depends on our ability to successfully commercialize our lead product candidate, Xilonix™, or any other product candidate we may advance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187"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June 30, 2016, we have recorded total research and development expenses, including share-based compensation, of $120.1 million. Our total research and development expenses for the three months and six months ended June 30, 2016 were $11.2 million and $19.0 million, respectively, compared to $4.4 million and $11.2 million for the three months and six months ended June 30, 2015, respectively. Share-based compensation accounted for $0.6 million and $1.2 million for the three months and six months ended June 30, 2016, respectively, compared to $0.5 million and $1.0 million for the three months and six months ended June 30, 2015, respectively.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8" w:name="page19"/>
    <w:bookmarkEnd w:id="18"/>
    <w:p>
      <w:pPr>
        <w:ind w:right="120" w:firstLine="441"/>
        <w:spacing w:after="0" w:line="259" w:lineRule="auto"/>
        <w:rPr>
          <w:sz w:val="20"/>
          <w:szCs w:val="20"/>
          <w:color w:val="auto"/>
        </w:rPr>
      </w:pPr>
      <w:r>
        <w:rPr>
          <w:rFonts w:ascii="Arial" w:cs="Arial" w:eastAsia="Arial" w:hAnsi="Arial"/>
          <w:sz w:val="18"/>
          <w:szCs w:val="18"/>
          <w:color w:val="auto"/>
        </w:rPr>
        <w:t xml:space="preserve">Research and development expenses, as a percentage of total operating expenses for the three months and six months ended June 30, 2016 were 82% and 80%, respectively, compared to 68% and 76% for the three months and six months ended June 30, 2015, respectively. The percentages,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stock-based compensation, for the three months and six months ended June 30, 2016 were 88% and 87%, respectively, compared to 75% and 84% for the three months and six months ended June 30, 2015, respectively.</w:t>
      </w:r>
    </w:p>
    <w:p>
      <w:pPr>
        <w:spacing w:after="0" w:line="187"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Based on the results of our preclinical studies, we anticipate that we will select drug candidates and research projects for further development on an ongoing basis in response to their preclinical and clinical success as well as commercial potential. For R&amp;D candidates in early stages of development, it is premature to estimate when material net cash inflows from these projects might occur.</w:t>
      </w:r>
    </w:p>
    <w:p>
      <w:pPr>
        <w:spacing w:after="0" w:line="181"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Increased research and development costs were anticipated and primarily due to Phase II and Phase III studies related to XBiotech’s wholly-owned R&amp;D programs in Xilonix™ and 514G3.</w:t>
      </w:r>
    </w:p>
    <w:p>
      <w:pPr>
        <w:spacing w:after="0" w:line="170"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Due to the fact that our drug candidates are in the early stage of development, we cannot estimate anticipated completion dates and when we might receive material net cash inflows from our research and development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and professional fees for legal services. Our total general and administration expenses for the three months and six months ended June 30, 2016 were $2.4 million and $4.8 million, respectively, compared to $2.0 million and $3.5 million for the three months and six months ended June 30, 2015, respectively. Share-based compensation accounted for $0.5 million and $1.7 million for the three months and six months ended June 30, 2016, respectively, compared to $0.7 million and $1.5 million for the three months and six months ended June 30, 2015, respectively.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320" w:firstLine="441"/>
        <w:spacing w:after="0" w:line="312"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conformity with generally accepted accounting principles in the United States, or US GAAP. The preparation of our financial statements requires us to make estimates and assumptions that affect the reported amounts of assets and liabilities and expenses incurred during the reported periods.</w:t>
      </w:r>
    </w:p>
    <w:p>
      <w:pPr>
        <w:spacing w:after="0" w:line="14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8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While our significant accounting policies are more fully described in the notes to our financial statements appearing in this prospectus, we believe that the following accounting policies are the most critical to understanding and evaluating our reported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Stock-based awards are measured at fair value at each grant date. We recognize stock-based compensation expenses ratably over the requisite service period of the option award.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Determination of the Fair Value of Stock-Based Compensation Grants</w:t>
      </w:r>
    </w:p>
    <w:p>
      <w:pPr>
        <w:spacing w:after="0" w:line="225" w:lineRule="exact"/>
        <w:rPr>
          <w:sz w:val="20"/>
          <w:szCs w:val="20"/>
          <w:color w:val="auto"/>
        </w:rPr>
      </w:pPr>
    </w:p>
    <w:p>
      <w:pPr>
        <w:jc w:val="both"/>
        <w:ind w:right="20" w:firstLine="441"/>
        <w:spacing w:after="0" w:line="288" w:lineRule="auto"/>
        <w:rPr>
          <w:sz w:val="20"/>
          <w:szCs w:val="20"/>
          <w:color w:val="auto"/>
        </w:rPr>
      </w:pPr>
      <w:r>
        <w:rPr>
          <w:rFonts w:ascii="Arial" w:cs="Arial" w:eastAsia="Arial" w:hAnsi="Arial"/>
          <w:sz w:val="16"/>
          <w:szCs w:val="16"/>
          <w:color w:val="auto"/>
        </w:rPr>
        <w:t>The determination of the fair value of stock-based compensation arrangements is affected by a number of variables, including estimates of the fair value of our common stock, expected stock price volatility, risk-free interest rate and the expected life of the award. We value stock options using the Black-Scholes option-pricing model, which was developed for use in estimating the fair value of traded options that are fully transferable and have no vesting restrictions.</w:t>
      </w:r>
    </w:p>
    <w:p>
      <w:pPr>
        <w:ind w:right="100"/>
        <w:spacing w:after="0" w:line="253" w:lineRule="auto"/>
        <w:rPr>
          <w:sz w:val="20"/>
          <w:szCs w:val="20"/>
          <w:color w:val="auto"/>
        </w:rPr>
      </w:pPr>
      <w:r>
        <w:rPr>
          <w:rFonts w:ascii="Arial" w:cs="Arial" w:eastAsia="Arial" w:hAnsi="Arial"/>
          <w:sz w:val="18"/>
          <w:szCs w:val="18"/>
          <w:color w:val="auto"/>
        </w:rPr>
        <w:t>Black-Scholes and other option valuation models require the input of highly subjective assumptions, including the expected stock price volatility. If we made different assumptions, our stock-based compensation expenses, net loss, and net loss per common share could be significantly different. Prior to our IPO in April 2015, we issued common stock for cash consideration to new investors. We believe that such transactions represent the best evidence of fair value of our common stock. Therefore, we used the sales price of our common stock during the three months and six months ended June 30, 2015 as the fair value of our common stock.</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assumptions used for estimating the fair value of stock options granted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0"/>
              </w:rPr>
              <w:t>Six Months Ended</w:t>
            </w:r>
          </w:p>
        </w:tc>
      </w:tr>
      <w:tr>
        <w:trPr>
          <w:trHeight w:val="230"/>
        </w:trPr>
        <w:tc>
          <w:tcPr>
            <w:tcW w:w="4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1200" w:type="dxa"/>
            <w:vAlign w:val="bottom"/>
          </w:tcPr>
          <w:p>
            <w:pPr>
              <w:spacing w:after="0"/>
              <w:rPr>
                <w:sz w:val="19"/>
                <w:szCs w:val="19"/>
                <w:color w:val="auto"/>
              </w:rPr>
            </w:pPr>
          </w:p>
        </w:tc>
      </w:tr>
      <w:tr>
        <w:trPr>
          <w:trHeight w:val="234"/>
        </w:trPr>
        <w:tc>
          <w:tcPr>
            <w:tcW w:w="410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65%-70%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68%-71%</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1.16%-1.51%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8"/>
              </w:rPr>
              <w:t>1.07%-2.42%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1.16%-1.82%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1.07%-2.42%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5.25-6.25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3-10</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13.01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11.49</w:t>
            </w:r>
          </w:p>
        </w:tc>
      </w:tr>
    </w:tbl>
    <w:p>
      <w:pPr>
        <w:spacing w:after="0" w:line="20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have assumed no dividend yield because we do not expect to pay dividends in the foreseeable future, which is consistent with our past practice. The risk-free interest rate assumption is based on observed interest rates for U.S. Treasury securities with maturities consistent with the expected life of our stock options. The expected life represents the period of time the stock options are expected to be outstanding and is based on the simplified method when the stock option includes “plain vanilla” terms. Under the simplified method, the expected life of an option is presumed to be the midpoint between the vesting date and the end of the agreement term. We used the simplified method due to the lack of sufficient historical exercise data to provide a reasonable basis upon which to otherwise estimate the expected life of the stock options. For stock options that did not include “plain vanilla” terms we used the contractual life of the stock option as the expected life. Such stock options consisted primarily of options issued to our board of directors that were immediately vested at issuance. Due to the lack of sufficient trading history for our common stock, expected volatility is based on historical volatilities for publicly traded stock of comparable companies over the estimated expected life of the stock options.</w:t>
      </w:r>
    </w:p>
    <w:p>
      <w:pPr>
        <w:spacing w:after="0" w:line="182" w:lineRule="exact"/>
        <w:rPr>
          <w:sz w:val="20"/>
          <w:szCs w:val="20"/>
          <w:color w:val="auto"/>
        </w:rPr>
      </w:pPr>
    </w:p>
    <w:p>
      <w:pPr>
        <w:ind w:right="500" w:firstLine="441"/>
        <w:spacing w:after="0" w:line="264" w:lineRule="auto"/>
        <w:rPr>
          <w:sz w:val="20"/>
          <w:szCs w:val="20"/>
          <w:color w:val="auto"/>
        </w:rPr>
      </w:pPr>
      <w:r>
        <w:rPr>
          <w:rFonts w:ascii="Arial" w:cs="Arial" w:eastAsia="Arial" w:hAnsi="Arial"/>
          <w:sz w:val="18"/>
          <w:szCs w:val="18"/>
          <w:color w:val="auto"/>
        </w:rPr>
        <w:t>We based our estimate of pre-vesting forfeitures, or forfeiture rate, on historical forfeiture rates. We apply the estimated forfeiture rate to the total estimated fair value of the awards, as derived from the Black-Scholes model, to compute the stock-based compensation expenses, net of pre-vesting forfeitures, to be recognized in our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record any revenue during the three months and six months ended June 30, 2016 and 2015.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4"/>
              </w:rPr>
              <w:t>Three Months Ended June 30,</w:t>
            </w:r>
          </w:p>
        </w:tc>
        <w:tc>
          <w:tcPr>
            <w:tcW w:w="300" w:type="dxa"/>
            <w:vAlign w:val="bottom"/>
          </w:tcPr>
          <w:p>
            <w:pPr>
              <w:spacing w:after="0"/>
              <w:rPr>
                <w:sz w:val="19"/>
                <w:szCs w:val="19"/>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Increase</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6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5"/>
              </w:rPr>
              <w:t>(Decrease)</w:t>
            </w: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2,762</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30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2,058</w:t>
            </w:r>
          </w:p>
        </w:tc>
        <w:tc>
          <w:tcPr>
            <w:tcW w:w="13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4,657</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3,942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587</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66</w:t>
            </w: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1,230</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334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11,216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4,382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6,834</w:t>
            </w:r>
          </w:p>
        </w:tc>
        <w:tc>
          <w:tcPr>
            <w:tcW w:w="1380" w:type="dxa"/>
            <w:vAlign w:val="bottom"/>
          </w:tcPr>
          <w:p>
            <w:pPr>
              <w:jc w:val="right"/>
              <w:spacing w:after="0"/>
              <w:rPr>
                <w:sz w:val="20"/>
                <w:szCs w:val="20"/>
                <w:color w:val="auto"/>
              </w:rPr>
            </w:pPr>
            <w:r>
              <w:rPr>
                <w:rFonts w:ascii="Arial" w:cs="Arial" w:eastAsia="Arial" w:hAnsi="Arial"/>
                <w:sz w:val="18"/>
                <w:szCs w:val="18"/>
                <w:color w:val="auto"/>
              </w:rPr>
              <w:t>156%</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5"/>
              </w:rPr>
              <w:t>Six Months Ended June 30,</w:t>
            </w:r>
          </w:p>
        </w:tc>
        <w:tc>
          <w:tcPr>
            <w:tcW w:w="1460" w:type="dxa"/>
            <w:vAlign w:val="bottom"/>
          </w:tcPr>
          <w:p>
            <w:pPr>
              <w:jc w:val="right"/>
              <w:ind w:right="390"/>
              <w:spacing w:after="0"/>
              <w:rPr>
                <w:sz w:val="20"/>
                <w:szCs w:val="20"/>
                <w:color w:val="auto"/>
              </w:rPr>
            </w:pPr>
            <w:r>
              <w:rPr>
                <w:rFonts w:ascii="Arial" w:cs="Arial" w:eastAsia="Arial" w:hAnsi="Arial"/>
                <w:sz w:val="18"/>
                <w:szCs w:val="18"/>
                <w:b w:val="1"/>
                <w:bCs w:val="1"/>
                <w:color w:val="auto"/>
              </w:rPr>
              <w:t>Increase</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6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4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(Decrease)</w:t>
            </w: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3,837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2,976</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861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3,538</w:t>
            </w:r>
          </w:p>
        </w:tc>
        <w:tc>
          <w:tcPr>
            <w:tcW w:w="40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2,039</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1,499</w:t>
            </w:r>
          </w:p>
        </w:tc>
        <w:tc>
          <w:tcPr>
            <w:tcW w:w="13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8,313</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3,405</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4,908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1,184</w:t>
            </w:r>
          </w:p>
        </w:tc>
        <w:tc>
          <w:tcPr>
            <w:tcW w:w="40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976</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208</w:t>
            </w: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2,156</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1,771</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385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19,028</w:t>
            </w:r>
          </w:p>
        </w:tc>
        <w:tc>
          <w:tcPr>
            <w:tcW w:w="4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11,167</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7,861</w:t>
            </w:r>
          </w:p>
        </w:tc>
        <w:tc>
          <w:tcPr>
            <w:tcW w:w="138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187"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47"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Research and development expenses increased by 156% to $11.2 million for the three months ended June 30, 2016 compared to $4.4 million for the three months ended June 30, 2015 Research and development expenses increased by 70% to $19.0 million for the six months ended June 30, 2016 compared to $11.2 million for the six months ended June 30, 2015.</w:t>
      </w:r>
    </w:p>
    <w:p>
      <w:pPr>
        <w:spacing w:after="0" w:line="18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three month increase in research and development expenses was mainly due to a $3.9 million increase in clinical trial activities, related to a trial expanded from a U.S. trial to a global trial. In addition there was a continued increase in laboratory and manufacturing supplies expense due to the increase of the manufacturing activities as well as preparation for new building supplies. Salaries and related expenses continued to increase related to the growing size of the workforce.</w:t>
      </w:r>
    </w:p>
    <w:p>
      <w:pPr>
        <w:spacing w:after="0" w:line="187"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Compared to the six months ended June 30, 2015, the research and development expense increase in the six months ended June 30, 2016 was primarily caused by a substantial growth in the clinical trial activity, mainly in Europe, the US and Asia. The laboratory and manufacturing supplies increase was principally due to the manufacturing activities as well as the research activities. Labor costs also increased due to an increase of current employee’s salaries and an increase in the size of the Research and Development workforce from 40 to 77.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5580" w:type="dxa"/>
            <w:vAlign w:val="bottom"/>
          </w:tcPr>
          <w:p>
            <w:pPr>
              <w:ind w:left="440"/>
              <w:spacing w:after="0"/>
              <w:rPr>
                <w:sz w:val="20"/>
                <w:szCs w:val="20"/>
                <w:color w:val="auto"/>
              </w:rPr>
            </w:pPr>
            <w:r>
              <w:rPr>
                <w:rFonts w:ascii="Arial" w:cs="Arial" w:eastAsia="Arial" w:hAnsi="Arial"/>
                <w:sz w:val="18"/>
                <w:szCs w:val="18"/>
                <w:i w:val="1"/>
                <w:iCs w:val="1"/>
                <w:color w:val="auto"/>
              </w:rPr>
              <w:t>General and Administrative</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6940" w:type="dxa"/>
            <w:vAlign w:val="bottom"/>
            <w:gridSpan w:val="3"/>
          </w:tcPr>
          <w:p>
            <w:pPr>
              <w:ind w:left="440"/>
              <w:spacing w:after="0"/>
              <w:rPr>
                <w:sz w:val="20"/>
                <w:szCs w:val="20"/>
                <w:color w:val="auto"/>
              </w:rPr>
            </w:pPr>
            <w:r>
              <w:rPr>
                <w:rFonts w:ascii="Arial" w:cs="Arial" w:eastAsia="Arial" w:hAnsi="Arial"/>
                <w:sz w:val="18"/>
                <w:szCs w:val="18"/>
                <w:color w:val="auto"/>
              </w:rPr>
              <w:t>General and administrative costs are summarized as follows (in thousands):</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27"/>
        </w:trPr>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3"/>
              </w:rPr>
              <w:t>Three Months Ended June 30,</w:t>
            </w:r>
          </w:p>
        </w:tc>
        <w:tc>
          <w:tcPr>
            <w:tcW w:w="280" w:type="dxa"/>
            <w:vAlign w:val="bottom"/>
          </w:tcPr>
          <w:p>
            <w:pPr>
              <w:spacing w:after="0"/>
              <w:rPr>
                <w:sz w:val="24"/>
                <w:szCs w:val="24"/>
                <w:color w:val="auto"/>
              </w:rPr>
            </w:pPr>
          </w:p>
        </w:tc>
        <w:tc>
          <w:tcPr>
            <w:tcW w:w="136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Increase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 Increase</w:t>
            </w:r>
          </w:p>
        </w:tc>
      </w:tr>
      <w:tr>
        <w:trPr>
          <w:trHeight w:val="234"/>
        </w:trPr>
        <w:tc>
          <w:tcPr>
            <w:tcW w:w="55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6"/>
              </w:rPr>
              <w:t>(Decrease)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(Decrease)</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Patent filing expense</w:t>
            </w: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(49)</w:t>
            </w: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768</w:t>
            </w: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478</w:t>
            </w:r>
          </w:p>
        </w:tc>
        <w:tc>
          <w:tcPr>
            <w:tcW w:w="13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170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4"/>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2,399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360</w:t>
            </w: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3"/>
        </w:trPr>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6"/>
              </w:rPr>
              <w:t>Six Months Ended June 30,</w:t>
            </w:r>
          </w:p>
        </w:tc>
        <w:tc>
          <w:tcPr>
            <w:tcW w:w="280" w:type="dxa"/>
            <w:vAlign w:val="bottom"/>
          </w:tcPr>
          <w:p>
            <w:pPr>
              <w:spacing w:after="0"/>
              <w:rPr>
                <w:sz w:val="24"/>
                <w:szCs w:val="24"/>
                <w:color w:val="auto"/>
              </w:rPr>
            </w:pPr>
          </w:p>
        </w:tc>
        <w:tc>
          <w:tcPr>
            <w:tcW w:w="136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Increase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 Increase</w:t>
            </w:r>
          </w:p>
        </w:tc>
      </w:tr>
      <w:tr>
        <w:trPr>
          <w:trHeight w:val="234"/>
        </w:trPr>
        <w:tc>
          <w:tcPr>
            <w:tcW w:w="55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6"/>
              </w:rPr>
              <w:t>(Decrease)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(Decrease)</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Patent filing expense</w:t>
            </w: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483</w:t>
            </w:r>
          </w:p>
        </w:tc>
        <w:tc>
          <w:tcPr>
            <w:tcW w:w="2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(130)</w:t>
            </w: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860</w:t>
            </w: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422</w:t>
            </w:r>
          </w:p>
        </w:tc>
        <w:tc>
          <w:tcPr>
            <w:tcW w:w="28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438</w:t>
            </w:r>
          </w:p>
        </w:tc>
        <w:tc>
          <w:tcPr>
            <w:tcW w:w="13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979</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527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4"/>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4,835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1,376</w:t>
            </w: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87"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General and administrative expenses increased 18% to $2.4 million for the three months ended June 30, 2016 compared to $2.0 million for the three months ended June 30, 2015. General and administrative expenses increased 40% to $4.8 million for the six months ended June 30, 2015 compared to $3.5 million for the six months ended June 30, 2015.</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three months increase was primarily related to a $0.5 million increase in public relations fees. The decrease in stock–based compensation expenses of $0.2 million due to the grant of stock options to new employees by the Company from April 1, 2015 to June 30, 2016, which offset the total increase. Other expenses also increased including the increase in insurance and recruiting activities.</w:t>
      </w:r>
    </w:p>
    <w:p>
      <w:pPr>
        <w:spacing w:after="0" w:line="181"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The six months increase was principally due to the growing of our workforce, an increase in stock-based compensation and the $0.5 million increase in public relations fees. The increase in salaries and related expenses was due to new employees in the general and administrative department, including the Chief Financial Officer. Stock-based compensation also increased due to the grant of stock options to board members in Q1 2016 that were immediately vested. Other reasons for increases included insurance, travel expense and recruiting activities.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i w:val="1"/>
                <w:iCs w:val="1"/>
                <w:color w:val="auto"/>
              </w:rPr>
              <w:t>Other income</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5620" w:type="dxa"/>
            <w:vAlign w:val="bottom"/>
          </w:tcPr>
          <w:p>
            <w:pPr>
              <w:ind w:left="440"/>
              <w:spacing w:after="0"/>
              <w:rPr>
                <w:sz w:val="20"/>
                <w:szCs w:val="20"/>
                <w:color w:val="auto"/>
              </w:rPr>
            </w:pPr>
            <w:r>
              <w:rPr>
                <w:rFonts w:ascii="Arial" w:cs="Arial" w:eastAsia="Arial" w:hAnsi="Arial"/>
                <w:sz w:val="18"/>
                <w:szCs w:val="18"/>
                <w:color w:val="auto"/>
              </w:rPr>
              <w:t>The following table summarizes other income (in thousands):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27"/>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2"/>
              </w:rPr>
              <w:t>Three months Ended June 30,</w:t>
            </w:r>
          </w:p>
        </w:tc>
        <w:tc>
          <w:tcPr>
            <w:tcW w:w="300" w:type="dxa"/>
            <w:vAlign w:val="bottom"/>
          </w:tcPr>
          <w:p>
            <w:pPr>
              <w:spacing w:after="0"/>
              <w:rPr>
                <w:sz w:val="24"/>
                <w:szCs w:val="24"/>
                <w:color w:val="auto"/>
              </w:rPr>
            </w:pPr>
          </w:p>
        </w:tc>
        <w:tc>
          <w:tcPr>
            <w:tcW w:w="25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34"/>
        </w:trPr>
        <w:tc>
          <w:tcPr>
            <w:tcW w:w="56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2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50"/>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Other income consists primarily of a $7 thousand foreign exchange loss for the three months ended June 30, 2016, compared to a $323 thousand loss for the three months ended June 30, 2015. Also, foreign exchange loss for the six months ended June 30, 2016 was $16 thousand, compared to $232 thousand for the six months ended June 30,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2" w:name="page23"/>
    <w:bookmarkEnd w:id="22"/>
    <w:p>
      <w:pPr>
        <w:ind w:right="140" w:firstLine="441"/>
        <w:spacing w:after="0" w:line="264" w:lineRule="auto"/>
        <w:rPr>
          <w:sz w:val="20"/>
          <w:szCs w:val="20"/>
          <w:color w:val="auto"/>
        </w:rPr>
      </w:pPr>
      <w:r>
        <w:rPr>
          <w:rFonts w:ascii="Arial" w:cs="Arial" w:eastAsia="Arial" w:hAnsi="Arial"/>
          <w:sz w:val="18"/>
          <w:szCs w:val="18"/>
          <w:color w:val="auto"/>
        </w:rPr>
        <w:t>Since our inception on March 22, 2005 through June 30, 2016, we have funded our operations principally through the sales of equity securities in private and public transactions, which have provided aggregate cash proceeds of approximately $221.7 million. The following table summarizes our sources and uses of cash (in thousands):</w:t>
      </w: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provided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3040"/>
        <w:spacing w:after="0" w:line="276" w:lineRule="auto"/>
        <w:rPr>
          <w:sz w:val="20"/>
          <w:szCs w:val="20"/>
          <w:color w:val="auto"/>
        </w:rPr>
      </w:pPr>
      <w:r>
        <w:rPr>
          <w:rFonts w:ascii="Arial" w:cs="Arial" w:eastAsia="Arial" w:hAnsi="Arial"/>
          <w:sz w:val="18"/>
          <w:szCs w:val="18"/>
          <w:color w:val="auto"/>
        </w:rPr>
        <w:t>Effect of foreign exchange rate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195"/>
        </w:trPr>
        <w:tc>
          <w:tcPr>
            <w:tcW w:w="20" w:type="dxa"/>
            <w:vAlign w:val="bottom"/>
          </w:tcPr>
          <w:p>
            <w:pPr>
              <w:spacing w:after="0"/>
              <w:rPr>
                <w:sz w:val="16"/>
                <w:szCs w:val="16"/>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(18,198)</w:t>
            </w:r>
          </w:p>
        </w:tc>
        <w:tc>
          <w:tcPr>
            <w:tcW w:w="42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(15,394)</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(8,774)</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(2,210)</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707</w:t>
            </w:r>
          </w:p>
        </w:tc>
        <w:tc>
          <w:tcPr>
            <w:tcW w:w="4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77,438</w:t>
            </w:r>
          </w:p>
        </w:tc>
      </w:tr>
      <w:tr>
        <w:trPr>
          <w:trHeight w:val="230"/>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r>
      <w:tr>
        <w:trPr>
          <w:trHeight w:val="223"/>
        </w:trPr>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(26,253)</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60,053</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476" w:right="239" w:bottom="1440" w:gutter="0" w:footer="0" w:header="0"/>
          <w:type w:val="continuous"/>
        </w:sectPr>
      </w:pPr>
    </w:p>
    <w:p>
      <w:pPr>
        <w:spacing w:after="0" w:line="2"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During the six months ended June 30, 2016 and 2015, our operating activities used net cash of $18.2 million and $15.4 million, respectively. The use of net cash in each of these periods primarily resulted from our net losses. The increase in net loss from operations for the six months ended June 30, 2016 as compared to the six months ended June 30, 2015 was mainly due to increases in clinical trial activities, labor cost and manufacturing supplies.</w:t>
      </w:r>
    </w:p>
    <w:p>
      <w:pPr>
        <w:spacing w:after="0" w:line="147"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During the six months ended June 30, 2016 and 2015, our investing activities used net cash of $8.7 million and $2.2 million, respectively. We spent approximately $3.4 million more on the construction of new facilities during the six months ended June 30, 2016 compared to the six months ended June 30, 2015.</w:t>
      </w:r>
    </w:p>
    <w:p>
      <w:pPr>
        <w:spacing w:after="0" w:line="18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During the six months ended June 30, 2016 and 2015, our financing activities provided net cash proceeds of $0.7 million and $77.4 million, respectively. During the six months ended June 30, 2016, employees exercised stock options to purchase a total of 149,570 shares of common stock. In April 2015, we sold an aggregate of 4,000,000 shares of our common stock at a price of $19.00 per share and received IPO proceeds of $76.0 million and incurred offering costs of $5.4 million, which consisted of underwriters’ commission direct incremental legal, accounting and other professional service fees related to our IPO.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On January 12, 2008, we entered a lease agreement to lease our facility in Austin, Texas. On September 15, 2010, we entered into a second lease agreement to lease additional space in Austin, Texas. On March 20, 2014, we extended the lease for an additional 21 months on the same terms and rental rates as the current lease. Rent expense was $180 thousand and $197 thousand for the three months ended June 30, 2016 and 2015, respectively. On February 28, 2015, we extended the lease for another 4 years. The future minimum lease payments are as follows as of June 30, 2016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Less than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More than 3</w:t>
            </w: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years</w:t>
            </w:r>
          </w:p>
        </w:tc>
      </w:tr>
      <w:tr>
        <w:trPr>
          <w:trHeight w:val="223"/>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facility leases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New building construction was set to complete at the end of August, 2016, per our contract. The construction is now set to be completed at the end of September 2016. The total estimated future payment to our general contractor is $8.9 million. The last payment is expected to occur in Q3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Quantitative and Qualitative Disclosure of Market Risks</w:t>
      </w:r>
    </w:p>
    <w:p>
      <w:pPr>
        <w:spacing w:after="0" w:line="229"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currently engages in no hedging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29"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June 30, 2016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472" w:right="379" w:bottom="1440" w:gutter="0" w:footer="0" w:header="0"/>
        </w:sectPr>
      </w:pPr>
    </w:p>
    <w:bookmarkStart w:id="24" w:name="page25"/>
    <w:bookmarkEnd w:id="24"/>
    <w:p>
      <w:pPr>
        <w:ind w:left="45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On December 1, 2015, a purported securities class action complaint captioned </w:t>
      </w:r>
      <w:r>
        <w:rPr>
          <w:rFonts w:ascii="Arial" w:cs="Arial" w:eastAsia="Arial" w:hAnsi="Arial"/>
          <w:sz w:val="17"/>
          <w:szCs w:val="17"/>
          <w:i w:val="1"/>
          <w:iCs w:val="1"/>
          <w:color w:val="auto"/>
        </w:rPr>
        <w:t>Yogina Rezko v. XBiotech Inc., John Simard, Queena Han and WR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Hambrecht &amp; Co., LLC </w:t>
      </w:r>
      <w:r>
        <w:rPr>
          <w:rFonts w:ascii="Arial" w:cs="Arial" w:eastAsia="Arial" w:hAnsi="Arial"/>
          <w:sz w:val="17"/>
          <w:szCs w:val="17"/>
          <w:color w:val="auto"/>
        </w:rPr>
        <w:t>was filed against us, certain of our officers and directors and the underwriter for our initial public offering in the Superior Court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State of California, Los Angeles County. On December 2, 2015, a purported securities class action complaint captioned </w:t>
      </w:r>
      <w:r>
        <w:rPr>
          <w:rFonts w:ascii="Arial" w:cs="Arial" w:eastAsia="Arial" w:hAnsi="Arial"/>
          <w:sz w:val="17"/>
          <w:szCs w:val="17"/>
          <w:i w:val="1"/>
          <w:iCs w:val="1"/>
          <w:color w:val="auto"/>
        </w:rPr>
        <w:t>Linh Tran v. XBiotech Inc., John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Simard and Queena Han </w:t>
      </w:r>
      <w:r>
        <w:rPr>
          <w:rFonts w:ascii="Arial" w:cs="Arial" w:eastAsia="Arial" w:hAnsi="Arial"/>
          <w:sz w:val="17"/>
          <w:szCs w:val="17"/>
          <w:color w:val="auto"/>
        </w:rPr>
        <w:t>was filed against us and certain of our officers and directors in U.S. District Court for the Western District of Texas. The lawsuits are</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substantially similar factual allegations and purport to be class actions brought on behalf of purchasers of the Company’s securities during the period from April 15, 2015 through November 23, 2015. The complaint filed in California state court alleges that the defendants violated the Securities Act of 1933, as amended (the “Securities Act”), and the complaint filed in federal court alleges that the defendants violated the Securities Exchange Act of 1934, as amended (the “Exchange Act”), in each case by making materially false and misleading statements concerning the Company’s Phase III clinical trial conducted in Europe to assess Xilonix™ as a treatment for colorectal cancer. The California complaint purports to assert claims for violations of Sections 11, 12(a)(2) and 15 of the Securities Act, and the federal complaint purports to assert claims for violation of Sections 10(b) and 20(a) of the Exchange Act and Rule 10b-5 promulgated thereunder. Both complaints seek, on behalf of the purported class, an unspecified amount of monetary damages, interest, fees and expenses of attorneys and experts, and other relief.</w:t>
      </w:r>
    </w:p>
    <w:p>
      <w:pPr>
        <w:spacing w:after="0" w:line="180"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February 24, 2016, following a proceeding to select a lead plaintiff in the federal case, the court issued an order appointing Mr. Kresimir Corak as lead plaintiff. The plaintiff filed an amended complaint in the federal case on April 8, 2016. We filed a motion to dismiss brief with the court on May 23, 2016, while plaintiffs filed a response brief on July 7, 2016. In the California case, the plaintiffs filed an amended complaint on June 7, 2016. We responded with a demurrer in August 2016. No trial or other dates have been set in either case.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December 31, 2015. Please carefully consider the information set forth in this Quarterly Report on Form 10-Q and the risk factors discussed in Part I, “Item 1A. Risk Factors” in our Annual Report on Form 10-K for the year ended December 31, 2015,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center"/>
        <w:ind w:right="92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3"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On August 11</w:t>
      </w:r>
      <w:r>
        <w:rPr>
          <w:rFonts w:ascii="Arial" w:cs="Arial" w:eastAsia="Arial" w:hAnsi="Arial"/>
          <w:sz w:val="30"/>
          <w:szCs w:val="30"/>
          <w:color w:val="auto"/>
          <w:vertAlign w:val="superscript"/>
        </w:rPr>
        <w:t>th</w:t>
      </w:r>
      <w:r>
        <w:rPr>
          <w:rFonts w:ascii="Arial" w:cs="Arial" w:eastAsia="Arial" w:hAnsi="Arial"/>
          <w:sz w:val="18"/>
          <w:szCs w:val="18"/>
          <w:color w:val="auto"/>
        </w:rPr>
        <w:t>, the Company’s Chief Financial Officer Scott Whitehurst announced that due to health reasons he was retiring. His resignation from his position at XBiotech was effective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472"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Item 6. Exhibits.</w:t>
            </w:r>
          </w:p>
        </w:tc>
        <w:tc>
          <w:tcPr>
            <w:tcW w:w="9900" w:type="dxa"/>
            <w:vAlign w:val="bottom"/>
          </w:tcPr>
          <w:p>
            <w:pPr>
              <w:spacing w:after="0"/>
              <w:rPr>
                <w:sz w:val="20"/>
                <w:szCs w:val="20"/>
                <w:color w:val="auto"/>
              </w:rPr>
            </w:pPr>
          </w:p>
        </w:tc>
      </w:tr>
      <w:tr>
        <w:trPr>
          <w:trHeight w:val="418"/>
        </w:trPr>
        <w:tc>
          <w:tcPr>
            <w:tcW w:w="1480" w:type="dxa"/>
            <w:vAlign w:val="bottom"/>
          </w:tcPr>
          <w:p>
            <w:pPr>
              <w:jc w:val="center"/>
              <w:ind w:right="90"/>
              <w:spacing w:after="0"/>
              <w:rPr>
                <w:sz w:val="20"/>
                <w:szCs w:val="20"/>
                <w:color w:val="auto"/>
              </w:rPr>
            </w:pPr>
            <w:r>
              <w:rPr>
                <w:rFonts w:ascii="Arial" w:cs="Arial" w:eastAsia="Arial" w:hAnsi="Arial"/>
                <w:sz w:val="18"/>
                <w:szCs w:val="18"/>
                <w:color w:val="auto"/>
                <w:w w:val="85"/>
              </w:rPr>
              <w:t>31.1</w:t>
            </w:r>
          </w:p>
        </w:tc>
        <w:tc>
          <w:tcPr>
            <w:tcW w:w="9900" w:type="dxa"/>
            <w:vAlign w:val="bottom"/>
          </w:tcPr>
          <w:p>
            <w:pPr>
              <w:ind w:left="180"/>
              <w:spacing w:after="0"/>
              <w:rPr>
                <w:sz w:val="20"/>
                <w:szCs w:val="20"/>
                <w:color w:val="auto"/>
              </w:rPr>
            </w:pPr>
            <w:r>
              <w:rPr>
                <w:rFonts w:ascii="Arial" w:cs="Arial" w:eastAsia="Arial" w:hAnsi="Arial"/>
                <w:sz w:val="18"/>
                <w:szCs w:val="18"/>
                <w:color w:val="auto"/>
                <w:w w:val="92"/>
              </w:rPr>
              <w:t>Certification of Principal Executive Officer Required Under Rule 13a-14(a) and 15d-14(a) of the Securities Exchange Act of 1934, as</w:t>
            </w:r>
          </w:p>
        </w:tc>
      </w:tr>
      <w:tr>
        <w:trPr>
          <w:trHeight w:val="230"/>
        </w:trPr>
        <w:tc>
          <w:tcPr>
            <w:tcW w:w="1480" w:type="dxa"/>
            <w:vAlign w:val="bottom"/>
          </w:tcPr>
          <w:p>
            <w:pPr>
              <w:spacing w:after="0"/>
              <w:rPr>
                <w:sz w:val="20"/>
                <w:szCs w:val="20"/>
                <w:color w:val="auto"/>
              </w:rPr>
            </w:pPr>
          </w:p>
        </w:tc>
        <w:tc>
          <w:tcPr>
            <w:tcW w:w="9900" w:type="dxa"/>
            <w:vAlign w:val="bottom"/>
          </w:tcPr>
          <w:p>
            <w:pPr>
              <w:ind w:left="180"/>
              <w:spacing w:after="0"/>
              <w:rPr>
                <w:sz w:val="20"/>
                <w:szCs w:val="20"/>
                <w:color w:val="auto"/>
              </w:rPr>
            </w:pPr>
            <w:r>
              <w:rPr>
                <w:rFonts w:ascii="Arial" w:cs="Arial" w:eastAsia="Arial" w:hAnsi="Arial"/>
                <w:sz w:val="18"/>
                <w:szCs w:val="18"/>
                <w:color w:val="auto"/>
              </w:rPr>
              <w:t>amended.</w:t>
            </w:r>
          </w:p>
        </w:tc>
      </w:tr>
      <w:tr>
        <w:trPr>
          <w:trHeight w:val="418"/>
        </w:trPr>
        <w:tc>
          <w:tcPr>
            <w:tcW w:w="1480" w:type="dxa"/>
            <w:vAlign w:val="bottom"/>
          </w:tcPr>
          <w:p>
            <w:pPr>
              <w:jc w:val="center"/>
              <w:ind w:right="90"/>
              <w:spacing w:after="0"/>
              <w:rPr>
                <w:sz w:val="20"/>
                <w:szCs w:val="20"/>
                <w:color w:val="auto"/>
              </w:rPr>
            </w:pPr>
            <w:r>
              <w:rPr>
                <w:rFonts w:ascii="Arial" w:cs="Arial" w:eastAsia="Arial" w:hAnsi="Arial"/>
                <w:sz w:val="18"/>
                <w:szCs w:val="18"/>
                <w:color w:val="auto"/>
                <w:w w:val="85"/>
              </w:rPr>
              <w:t>31.2</w:t>
            </w:r>
          </w:p>
        </w:tc>
        <w:tc>
          <w:tcPr>
            <w:tcW w:w="9900" w:type="dxa"/>
            <w:vAlign w:val="bottom"/>
          </w:tcPr>
          <w:p>
            <w:pPr>
              <w:ind w:left="180"/>
              <w:spacing w:after="0"/>
              <w:rPr>
                <w:sz w:val="20"/>
                <w:szCs w:val="20"/>
                <w:color w:val="auto"/>
              </w:rPr>
            </w:pPr>
            <w:r>
              <w:rPr>
                <w:rFonts w:ascii="Arial" w:cs="Arial" w:eastAsia="Arial" w:hAnsi="Arial"/>
                <w:sz w:val="18"/>
                <w:szCs w:val="18"/>
                <w:color w:val="auto"/>
                <w:w w:val="92"/>
              </w:rPr>
              <w:t>Certification of Principal Financial Officer Required Under Rule 13a-14(a) and 15d-14(a) of the Securities Exchange Act of 1934, as</w:t>
            </w:r>
          </w:p>
        </w:tc>
      </w:tr>
      <w:tr>
        <w:trPr>
          <w:trHeight w:val="230"/>
        </w:trPr>
        <w:tc>
          <w:tcPr>
            <w:tcW w:w="1480" w:type="dxa"/>
            <w:vAlign w:val="bottom"/>
          </w:tcPr>
          <w:p>
            <w:pPr>
              <w:spacing w:after="0"/>
              <w:rPr>
                <w:sz w:val="20"/>
                <w:szCs w:val="20"/>
                <w:color w:val="auto"/>
              </w:rPr>
            </w:pPr>
          </w:p>
        </w:tc>
        <w:tc>
          <w:tcPr>
            <w:tcW w:w="9900" w:type="dxa"/>
            <w:vAlign w:val="bottom"/>
          </w:tcPr>
          <w:p>
            <w:pPr>
              <w:ind w:left="180"/>
              <w:spacing w:after="0"/>
              <w:rPr>
                <w:sz w:val="20"/>
                <w:szCs w:val="20"/>
                <w:color w:val="auto"/>
              </w:rPr>
            </w:pPr>
            <w:r>
              <w:rPr>
                <w:rFonts w:ascii="Arial" w:cs="Arial" w:eastAsia="Arial" w:hAnsi="Arial"/>
                <w:sz w:val="18"/>
                <w:szCs w:val="18"/>
                <w:color w:val="auto"/>
              </w:rPr>
              <w:t>amended.</w:t>
            </w:r>
          </w:p>
        </w:tc>
      </w:tr>
      <w:tr>
        <w:trPr>
          <w:trHeight w:val="418"/>
        </w:trPr>
        <w:tc>
          <w:tcPr>
            <w:tcW w:w="1480" w:type="dxa"/>
            <w:vAlign w:val="bottom"/>
          </w:tcPr>
          <w:p>
            <w:pPr>
              <w:jc w:val="center"/>
              <w:ind w:right="90"/>
              <w:spacing w:after="0"/>
              <w:rPr>
                <w:sz w:val="20"/>
                <w:szCs w:val="20"/>
                <w:color w:val="auto"/>
              </w:rPr>
            </w:pPr>
            <w:r>
              <w:rPr>
                <w:rFonts w:ascii="Arial" w:cs="Arial" w:eastAsia="Arial" w:hAnsi="Arial"/>
                <w:sz w:val="18"/>
                <w:szCs w:val="18"/>
                <w:color w:val="auto"/>
                <w:w w:val="85"/>
              </w:rPr>
              <w:t>32.1</w:t>
            </w:r>
          </w:p>
        </w:tc>
        <w:tc>
          <w:tcPr>
            <w:tcW w:w="9900" w:type="dxa"/>
            <w:vAlign w:val="bottom"/>
          </w:tcPr>
          <w:p>
            <w:pPr>
              <w:ind w:left="180"/>
              <w:spacing w:after="0"/>
              <w:rPr>
                <w:sz w:val="20"/>
                <w:szCs w:val="20"/>
                <w:color w:val="auto"/>
              </w:rPr>
            </w:pPr>
            <w:r>
              <w:rPr>
                <w:rFonts w:ascii="Arial" w:cs="Arial" w:eastAsia="Arial" w:hAnsi="Arial"/>
                <w:sz w:val="18"/>
                <w:szCs w:val="18"/>
                <w:color w:val="auto"/>
                <w:w w:val="92"/>
              </w:rPr>
              <w:t>Certification of Principal Executive Officer and Principal Financial Officer Required Under Rule 13a-14(b) of the Securities Exchange</w:t>
            </w:r>
          </w:p>
        </w:tc>
      </w:tr>
      <w:tr>
        <w:trPr>
          <w:trHeight w:val="230"/>
        </w:trPr>
        <w:tc>
          <w:tcPr>
            <w:tcW w:w="1480" w:type="dxa"/>
            <w:vAlign w:val="bottom"/>
          </w:tcPr>
          <w:p>
            <w:pPr>
              <w:spacing w:after="0"/>
              <w:rPr>
                <w:sz w:val="20"/>
                <w:szCs w:val="20"/>
                <w:color w:val="auto"/>
              </w:rPr>
            </w:pPr>
          </w:p>
        </w:tc>
        <w:tc>
          <w:tcPr>
            <w:tcW w:w="9900" w:type="dxa"/>
            <w:vAlign w:val="bottom"/>
          </w:tcPr>
          <w:p>
            <w:pPr>
              <w:ind w:left="180"/>
              <w:spacing w:after="0"/>
              <w:rPr>
                <w:sz w:val="20"/>
                <w:szCs w:val="20"/>
                <w:color w:val="auto"/>
              </w:rPr>
            </w:pPr>
            <w:r>
              <w:rPr>
                <w:rFonts w:ascii="Arial" w:cs="Arial" w:eastAsia="Arial" w:hAnsi="Arial"/>
                <w:sz w:val="18"/>
                <w:szCs w:val="18"/>
                <w:color w:val="auto"/>
              </w:rPr>
              <w:t>Act of 1934, as amended, and 18 U.S.C. §1350.</w:t>
            </w:r>
          </w:p>
        </w:tc>
      </w:tr>
    </w:tbl>
    <w:p>
      <w:pPr>
        <w:spacing w:after="0" w:line="202" w:lineRule="exact"/>
        <w:rPr>
          <w:sz w:val="20"/>
          <w:szCs w:val="20"/>
          <w:color w:val="auto"/>
        </w:rPr>
      </w:pPr>
    </w:p>
    <w:p>
      <w:pPr>
        <w:ind w:left="1660" w:right="40" w:hanging="1166"/>
        <w:spacing w:after="0" w:line="279" w:lineRule="auto"/>
        <w:tabs>
          <w:tab w:leader="none" w:pos="1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following financial statements from the XBiotech Inc. Quarterly Report on Form 10-Q for the quarter ended June 30, 2016, formatted in Extensive Business Reporting Language (XBRL): (i) condensed consolidated balance sheets, (ii) condensed consolidated statements of operations, (iii) condensed consolidated statements of comprehensive loss, (iv) condensed consolidated statements of cash flows and (v) notes to condensed consolidated financial statements (detail tagged).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Arial" w:cs="Arial" w:eastAsia="Arial" w:hAnsi="Arial"/>
                <w:sz w:val="18"/>
                <w:szCs w:val="18"/>
                <w:color w:val="auto"/>
              </w:rPr>
              <w:t>Date: August 12, 2016</w:t>
            </w:r>
          </w:p>
        </w:tc>
        <w:tc>
          <w:tcPr>
            <w:tcW w:w="7720" w:type="dxa"/>
            <w:vAlign w:val="bottom"/>
            <w:gridSpan w:val="2"/>
          </w:tcPr>
          <w:p>
            <w:pPr>
              <w:ind w:left="2020"/>
              <w:spacing w:after="0"/>
              <w:rPr>
                <w:sz w:val="20"/>
                <w:szCs w:val="20"/>
                <w:color w:val="auto"/>
              </w:rPr>
            </w:pPr>
            <w:r>
              <w:rPr>
                <w:rFonts w:ascii="Arial" w:cs="Arial" w:eastAsia="Arial" w:hAnsi="Arial"/>
                <w:sz w:val="18"/>
                <w:szCs w:val="18"/>
                <w:b w:val="1"/>
                <w:bCs w:val="1"/>
                <w:color w:val="auto"/>
              </w:rPr>
              <w:t>XBIOTECH INC.</w:t>
            </w:r>
          </w:p>
        </w:tc>
      </w:tr>
      <w:tr>
        <w:trPr>
          <w:trHeight w:val="864"/>
        </w:trPr>
        <w:tc>
          <w:tcPr>
            <w:tcW w:w="3700" w:type="dxa"/>
            <w:vAlign w:val="bottom"/>
          </w:tcPr>
          <w:p>
            <w:pPr>
              <w:spacing w:after="0"/>
              <w:rPr>
                <w:sz w:val="24"/>
                <w:szCs w:val="24"/>
                <w:color w:val="auto"/>
              </w:rPr>
            </w:pPr>
          </w:p>
        </w:tc>
        <w:tc>
          <w:tcPr>
            <w:tcW w:w="2700" w:type="dxa"/>
            <w:vAlign w:val="bottom"/>
          </w:tcPr>
          <w:p>
            <w:pPr>
              <w:ind w:left="20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Simard</w:t>
            </w:r>
          </w:p>
        </w:tc>
      </w:tr>
      <w:tr>
        <w:trPr>
          <w:trHeight w:val="195"/>
        </w:trPr>
        <w:tc>
          <w:tcPr>
            <w:tcW w:w="3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3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3"/>
              </w:rPr>
              <w:t>President, Chief Executive Officer and Director (</w:t>
            </w:r>
            <w:r>
              <w:rPr>
                <w:rFonts w:ascii="Arial" w:cs="Arial" w:eastAsia="Arial" w:hAnsi="Arial"/>
                <w:sz w:val="18"/>
                <w:szCs w:val="18"/>
                <w:i w:val="1"/>
                <w:iCs w:val="1"/>
                <w:color w:val="auto"/>
                <w:w w:val="93"/>
              </w:rPr>
              <w:t>Principal Executive</w:t>
            </w:r>
          </w:p>
        </w:tc>
      </w:tr>
      <w:tr>
        <w:trPr>
          <w:trHeight w:val="230"/>
        </w:trPr>
        <w:tc>
          <w:tcPr>
            <w:tcW w:w="37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August 12, 2016</w:t>
            </w:r>
          </w:p>
        </w:tc>
        <w:tc>
          <w:tcPr>
            <w:tcW w:w="2700" w:type="dxa"/>
            <w:vAlign w:val="bottom"/>
          </w:tcPr>
          <w:p>
            <w:pPr>
              <w:ind w:left="20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Queena Han</w:t>
            </w:r>
          </w:p>
        </w:tc>
      </w:tr>
      <w:tr>
        <w:trPr>
          <w:trHeight w:val="211"/>
        </w:trPr>
        <w:tc>
          <w:tcPr>
            <w:tcW w:w="3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Queena Han</w:t>
            </w:r>
          </w:p>
        </w:tc>
      </w:tr>
    </w:tbl>
    <w:p>
      <w:pPr>
        <w:ind w:left="640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21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80" w:right="100" w:hanging="381"/>
        <w:spacing w:after="0" w:line="264" w:lineRule="auto"/>
        <w:tabs>
          <w:tab w:leader="none" w:pos="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100" w:hanging="386"/>
        <w:spacing w:after="0" w:line="264" w:lineRule="auto"/>
        <w:tabs>
          <w:tab w:leader="none" w:pos="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160" w:hanging="381"/>
        <w:spacing w:after="0" w:line="308" w:lineRule="auto"/>
        <w:tabs>
          <w:tab w:leader="none" w:pos="5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80" w:hanging="386"/>
        <w:spacing w:after="0" w:line="264" w:lineRule="auto"/>
        <w:tabs>
          <w:tab w:leader="none" w:pos="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80" w:right="60" w:hanging="381"/>
        <w:spacing w:after="0" w:line="277" w:lineRule="auto"/>
        <w:tabs>
          <w:tab w:leader="none" w:pos="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140" w:hanging="386"/>
        <w:spacing w:after="0" w:line="277" w:lineRule="auto"/>
        <w:tabs>
          <w:tab w:leader="none" w:pos="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John Simard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21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80" w:right="100" w:hanging="381"/>
        <w:spacing w:after="0" w:line="264" w:lineRule="auto"/>
        <w:tabs>
          <w:tab w:leader="none" w:pos="5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100" w:hanging="386"/>
        <w:spacing w:after="0" w:line="264" w:lineRule="auto"/>
        <w:tabs>
          <w:tab w:leader="none" w:pos="5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160" w:hanging="381"/>
        <w:spacing w:after="0" w:line="308" w:lineRule="auto"/>
        <w:tabs>
          <w:tab w:leader="none" w:pos="5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580" w:hanging="386"/>
        <w:spacing w:after="0" w:line="264" w:lineRule="auto"/>
        <w:tabs>
          <w:tab w:leader="none" w:pos="5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80" w:right="60" w:hanging="381"/>
        <w:spacing w:after="0" w:line="277" w:lineRule="auto"/>
        <w:tabs>
          <w:tab w:leader="none" w:pos="5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140" w:hanging="386"/>
        <w:spacing w:after="0" w:line="277" w:lineRule="auto"/>
        <w:tabs>
          <w:tab w:leader="none" w:pos="5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2016</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0" w:name="page31"/>
    <w:bookmarkEnd w:id="30"/>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 18 U.S.C. SECTION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three months and six months ended June 30, 2016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w:t>
      </w:r>
      <w:r>
        <w:rPr>
          <w:rFonts w:ascii="Arial" w:cs="Arial" w:eastAsia="Arial" w:hAnsi="Arial"/>
          <w:sz w:val="18"/>
          <w:szCs w:val="18"/>
          <w:b w:val="1"/>
          <w:bCs w:val="1"/>
          <w:u w:val="single" w:color="auto"/>
          <w:color w:val="auto"/>
        </w:rPr>
        <w:t>JOHN SIMARD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12, 2016</w:t>
      </w:r>
    </w:p>
    <w:p>
      <w:pPr>
        <w:spacing w:after="0" w:line="211"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connection with the Quarterly Report of XBiotech Inc. on Form 10-Q for the three months and six months ended June 30, 2016,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47" w:lineRule="exact"/>
        <w:rPr>
          <w:sz w:val="20"/>
          <w:szCs w:val="20"/>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12,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amp;"/>
      <w:numFmt w:val="bullet"/>
      <w:start w:val="1"/>
    </w:lvl>
  </w:abstractNum>
  <w:abstractNum w:abstractNumId="8">
    <w:nsid w:val="1F16E9E8"/>
    <w:multiLevelType w:val="hybridMultilevel"/>
    <w:lvl w:ilvl="0">
      <w:lvlJc w:val="left"/>
      <w:lvlText w:val="%1"/>
      <w:numFmt w:val="decimal"/>
      <w:start w:val="10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2019-12-29T09:48:26Z</dcterms:created>
  <dcterms:modified xsi:type="dcterms:W3CDTF">2019-12-29T09:48:26Z</dcterms:modified>
</cp:coreProperties>
</file>