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ind w:left="3740" w:right="3740" w:hanging="3732"/>
        <w:spacing w:after="0" w:line="530" w:lineRule="auto"/>
        <w:tabs>
          <w:tab w:leader="none" w:pos="58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1" w:lineRule="exact"/>
        <w:rPr>
          <w:sz w:val="24"/>
          <w:szCs w:val="24"/>
          <w:color w:val="auto"/>
        </w:rPr>
      </w:pPr>
    </w:p>
    <w:p>
      <w:pPr>
        <w:spacing w:after="0"/>
        <w:tabs>
          <w:tab w:leader="none" w:pos="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001-37437</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XBIOTECH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420"/>
          </w:cols>
          <w:pgMar w:left="240" w:top="200" w:right="239" w:bottom="1440" w:gutter="0" w:footer="0" w:header="0"/>
        </w:sectPr>
      </w:pPr>
    </w:p>
    <w:p>
      <w:pPr>
        <w:spacing w:after="0" w:line="20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440"/>
          </w:cols>
          <w:pgMar w:left="240" w:top="200" w:right="2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8201 E. Riverside Drive, Bldg. 4, Suite 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Number (512) 386-2900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420"/>
          </w:cols>
          <w:pgMar w:left="240" w:top="200" w:right="239" w:bottom="1440" w:gutter="0" w:footer="0" w:header="0"/>
          <w:type w:val="continuous"/>
        </w:sectPr>
      </w:pPr>
    </w:p>
    <w:p>
      <w:pPr>
        <w:spacing w:after="0" w:line="218"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472" w:right="419" w:bottom="1440" w:gutter="0" w:footer="0" w:header="0"/>
        </w:sectPr>
      </w:pP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4">
            <w:col w:w="1620" w:space="680"/>
            <w:col w:w="5440" w:space="720"/>
            <w:col w:w="1980" w:space="640"/>
            <w:col w:w="160"/>
          </w:cols>
          <w:pgMar w:left="240" w:top="472" w:right="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jc w:val="center"/>
        <w:spacing w:after="0" w:line="18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0"/>
          <w:szCs w:val="20"/>
          <w:color w:val="auto"/>
        </w:rPr>
      </w:pPr>
    </w:p>
    <w:p>
      <w:pPr>
        <w:sectPr>
          <w:pgSz w:w="11900" w:h="16838" w:orient="portrait"/>
          <w:cols w:equalWidth="0" w:num="3">
            <w:col w:w="8180" w:space="160"/>
            <w:col w:w="520" w:space="180"/>
            <w:col w:w="2200"/>
          </w:cols>
          <w:pgMar w:left="240" w:top="472" w:right="4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14, 2016, there were 32,463,692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472" w:right="4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AND NINE MONTHS ENDED SEPTEMBER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60" w:type="dxa"/>
            <w:vAlign w:val="bottom"/>
            <w:gridSpan w:val="13"/>
          </w:tcPr>
          <w:p>
            <w:pPr>
              <w:jc w:val="center"/>
              <w:ind w:right="3680"/>
              <w:spacing w:after="0"/>
              <w:rPr>
                <w:rFonts w:ascii="Times New Roman" w:cs="Times New Roman" w:eastAsia="Times New Roman" w:hAnsi="Times New Roman"/>
                <w:sz w:val="18"/>
                <w:szCs w:val="18"/>
                <w:b w:val="1"/>
                <w:bCs w:val="1"/>
                <w:color w:val="0000EE"/>
                <w:w w:val="98"/>
              </w:rPr>
            </w:pPr>
            <w:hyperlink w:anchor="page6">
              <w:r>
                <w:rPr>
                  <w:rFonts w:ascii="Times New Roman" w:cs="Times New Roman" w:eastAsia="Times New Roman" w:hAnsi="Times New Roman"/>
                  <w:sz w:val="18"/>
                  <w:szCs w:val="18"/>
                  <w:b w:val="1"/>
                  <w:bCs w:val="1"/>
                  <w:color w:val="0000EE"/>
                  <w:w w:val="98"/>
                </w:rPr>
                <w:t>PART I— FINANCIAL INFORMATION</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Item 1.</w:t>
              </w:r>
            </w:hyperlink>
          </w:p>
        </w:tc>
        <w:tc>
          <w:tcPr>
            <w:tcW w:w="860" w:type="dxa"/>
            <w:vAlign w:val="bottom"/>
            <w:gridSpan w:val="2"/>
          </w:tcPr>
          <w:p>
            <w:pPr>
              <w:spacing w:after="0"/>
              <w:rPr>
                <w:sz w:val="17"/>
                <w:szCs w:val="17"/>
                <w:color w:val="auto"/>
              </w:rPr>
            </w:pPr>
          </w:p>
        </w:tc>
        <w:tc>
          <w:tcPr>
            <w:tcW w:w="2740" w:type="dxa"/>
            <w:vAlign w:val="bottom"/>
            <w:gridSpan w:val="1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Financial Statements</w:t>
              </w:r>
            </w:hyperlink>
          </w:p>
        </w:tc>
        <w:tc>
          <w:tcPr>
            <w:tcW w:w="3200" w:type="dxa"/>
            <w:vAlign w:val="bottom"/>
            <w:tcBorders>
              <w:top w:val="single" w:sz="8" w:color="0000EE"/>
            </w:tcBorders>
            <w:gridSpan w:val="6"/>
          </w:tcPr>
          <w:p>
            <w:pPr>
              <w:spacing w:after="0"/>
              <w:rPr>
                <w:sz w:val="17"/>
                <w:szCs w:val="17"/>
                <w:color w:val="auto"/>
              </w:rPr>
            </w:pPr>
          </w:p>
        </w:tc>
        <w:tc>
          <w:tcPr>
            <w:tcW w:w="39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20" w:type="dxa"/>
            <w:vAlign w:val="bottom"/>
            <w:gridSpan w:val="18"/>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Balance Sheets as of September 30, 2016 (unaudited) and December 31, 2015</w:t>
              </w:r>
            </w:hyperlink>
          </w:p>
        </w:tc>
        <w:tc>
          <w:tcPr>
            <w:tcW w:w="324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Operations for the Three Months and Nine Months Ended September 30, 2016 (unaudited) and</w:t>
              </w:r>
            </w:hyperlink>
          </w:p>
        </w:tc>
        <w:tc>
          <w:tcPr>
            <w:tcW w:w="180" w:type="dxa"/>
            <w:vAlign w:val="bottom"/>
            <w:gridSpan w:val="2"/>
            <w:vMerge w:val="restart"/>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60" w:type="dxa"/>
            <w:vAlign w:val="bottom"/>
            <w:tcBorders>
              <w:top w:val="single" w:sz="8" w:color="0000EE"/>
            </w:tcBorders>
            <w:gridSpan w:val="21"/>
            <w:vMerge w:val="restart"/>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2015 (unaudited)</w:t>
              </w:r>
            </w:hyperlink>
          </w:p>
        </w:tc>
        <w:tc>
          <w:tcPr>
            <w:tcW w:w="1000" w:type="dxa"/>
            <w:vAlign w:val="bottom"/>
            <w:vMerge w:val="restart"/>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60" w:type="dxa"/>
            <w:vAlign w:val="bottom"/>
            <w:tcBorders>
              <w:top w:val="single" w:sz="8" w:color="0000EE"/>
            </w:tcBorders>
            <w:gridSpan w:val="21"/>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Comprehensive Loss for the Three Months and Nine Months Ended September 30, 2016</w:t>
              </w:r>
            </w:hyperlink>
          </w:p>
        </w:tc>
        <w:tc>
          <w:tcPr>
            <w:tcW w:w="14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gridSpan w:val="8"/>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(unaudited) and 2015 (unaudited)</w:t>
              </w:r>
            </w:hyperlink>
          </w:p>
        </w:tc>
        <w:tc>
          <w:tcPr>
            <w:tcW w:w="7440" w:type="dxa"/>
            <w:vAlign w:val="bottom"/>
            <w:gridSpan w:val="14"/>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80" w:type="dxa"/>
            <w:vAlign w:val="bottom"/>
            <w:gridSpan w:val="20"/>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Consolidated Statements of Cash Flows for Nine Months Ended September 30, 2016 (unaudited) and 2015 (unaudited)</w:t>
              </w:r>
            </w:hyperlink>
          </w:p>
        </w:tc>
        <w:tc>
          <w:tcPr>
            <w:tcW w:w="128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80" w:type="dxa"/>
            <w:vAlign w:val="bottom"/>
            <w:gridSpan w:val="20"/>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Consolidated Financial Statements (unaudited)</w:t>
              </w:r>
            </w:hyperlink>
          </w:p>
        </w:tc>
        <w:tc>
          <w:tcPr>
            <w:tcW w:w="128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2.</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18</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3.</w:t>
              </w:r>
            </w:hyperlink>
          </w:p>
        </w:tc>
        <w:tc>
          <w:tcPr>
            <w:tcW w:w="86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40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24</w:t>
              </w:r>
            </w:hyperlink>
          </w:p>
        </w:tc>
        <w:tc>
          <w:tcPr>
            <w:tcW w:w="0" w:type="dxa"/>
            <w:vAlign w:val="bottom"/>
          </w:tcPr>
          <w:p>
            <w:pPr>
              <w:spacing w:after="0"/>
              <w:rPr>
                <w:sz w:val="1"/>
                <w:szCs w:val="1"/>
                <w:color w:val="auto"/>
              </w:rPr>
            </w:pPr>
          </w:p>
        </w:tc>
      </w:tr>
      <w:tr>
        <w:trPr>
          <w:trHeight w:val="196"/>
        </w:trPr>
        <w:tc>
          <w:tcPr>
            <w:tcW w:w="1380" w:type="dxa"/>
            <w:vAlign w:val="bottom"/>
            <w:gridSpan w:val="3"/>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4.</w:t>
              </w:r>
            </w:hyperlink>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24</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gridSpan w:val="11"/>
          </w:tcPr>
          <w:p>
            <w:pPr>
              <w:jc w:val="center"/>
              <w:ind w:right="4100"/>
              <w:spacing w:after="0" w:line="196" w:lineRule="exact"/>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PART II—OTHER INFORMATION</w:t>
              </w:r>
            </w:hyperlink>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1.</w:t>
              </w:r>
            </w:hyperlink>
          </w:p>
        </w:tc>
        <w:tc>
          <w:tcPr>
            <w:tcW w:w="860" w:type="dxa"/>
            <w:vAlign w:val="bottom"/>
            <w:gridSpan w:val="2"/>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Legal Proceedings</w:t>
              </w:r>
            </w:hyperlink>
          </w:p>
        </w:tc>
        <w:tc>
          <w:tcPr>
            <w:tcW w:w="1560" w:type="dxa"/>
            <w:vAlign w:val="bottom"/>
            <w:gridSpan w:val="6"/>
          </w:tcPr>
          <w:p>
            <w:pPr>
              <w:spacing w:after="0"/>
              <w:rPr>
                <w:sz w:val="17"/>
                <w:szCs w:val="17"/>
                <w:color w:val="auto"/>
              </w:rPr>
            </w:pPr>
          </w:p>
        </w:tc>
        <w:tc>
          <w:tcPr>
            <w:tcW w:w="2860" w:type="dxa"/>
            <w:vAlign w:val="bottom"/>
            <w:tcBorders>
              <w:top w:val="single" w:sz="8" w:color="0000EE"/>
            </w:tcBorders>
            <w:gridSpan w:val="4"/>
          </w:tcPr>
          <w:p>
            <w:pPr>
              <w:spacing w:after="0"/>
              <w:rPr>
                <w:sz w:val="17"/>
                <w:szCs w:val="17"/>
                <w:color w:val="auto"/>
              </w:rPr>
            </w:pPr>
          </w:p>
        </w:tc>
        <w:tc>
          <w:tcPr>
            <w:tcW w:w="4100" w:type="dxa"/>
            <w:vAlign w:val="bottom"/>
            <w:gridSpan w:val="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196"/>
        </w:trPr>
        <w:tc>
          <w:tcPr>
            <w:tcW w:w="1380" w:type="dxa"/>
            <w:vAlign w:val="bottom"/>
            <w:gridSpan w:val="3"/>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Unregistered Sales of Equity Securities and Use of Proceeds</w:t>
              </w:r>
            </w:hyperlink>
          </w:p>
        </w:tc>
        <w:tc>
          <w:tcPr>
            <w:tcW w:w="5500" w:type="dxa"/>
            <w:vAlign w:val="bottom"/>
            <w:gridSpan w:val="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3.</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Defaults Upon Senior Securities</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4.</w:t>
              </w:r>
            </w:hyperlink>
          </w:p>
        </w:tc>
        <w:tc>
          <w:tcPr>
            <w:tcW w:w="86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tcPr>
          <w:p>
            <w:pPr>
              <w:spacing w:after="0"/>
              <w:rPr>
                <w:sz w:val="17"/>
                <w:szCs w:val="17"/>
                <w:color w:val="auto"/>
              </w:rPr>
            </w:pPr>
          </w:p>
        </w:tc>
        <w:tc>
          <w:tcPr>
            <w:tcW w:w="7540" w:type="dxa"/>
            <w:vAlign w:val="bottom"/>
            <w:gridSpan w:val="1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5.</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Other Information</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6.</w:t>
              </w:r>
            </w:hyperlink>
          </w:p>
        </w:tc>
        <w:tc>
          <w:tcPr>
            <w:tcW w:w="860" w:type="dxa"/>
            <w:vAlign w:val="bottom"/>
            <w:gridSpan w:val="2"/>
          </w:tcPr>
          <w:p>
            <w:pPr>
              <w:spacing w:after="0"/>
              <w:rPr>
                <w:sz w:val="17"/>
                <w:szCs w:val="17"/>
                <w:color w:val="auto"/>
              </w:rPr>
            </w:pPr>
          </w:p>
        </w:tc>
        <w:tc>
          <w:tcPr>
            <w:tcW w:w="13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8540" w:type="dxa"/>
            <w:vAlign w:val="bottom"/>
            <w:gridSpan w:val="18"/>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89" w:lineRule="exact"/>
        <w:rPr>
          <w:sz w:val="20"/>
          <w:szCs w:val="20"/>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to market and sell Xilonix™ in the United States, Europe and elsewhere;</w:t>
      </w:r>
    </w:p>
    <w:p>
      <w:pPr>
        <w:spacing w:after="0" w:line="27" w:lineRule="exact"/>
        <w:rPr>
          <w:rFonts w:ascii="Times New Roman" w:cs="Times New Roman" w:eastAsia="Times New Roman" w:hAnsi="Times New Roman"/>
          <w:sz w:val="18"/>
          <w:szCs w:val="18"/>
          <w:color w:val="auto"/>
        </w:rPr>
      </w:pPr>
    </w:p>
    <w:p>
      <w:pPr>
        <w:ind w:left="880" w:right="240" w:hanging="332"/>
        <w:spacing w:after="0" w:line="250"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cost, progress and success of our research and development programs, preclinical studies and clinical trials for Xilonix™ and other product candidates;</w:t>
      </w: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sale of Xilonix™ in the United States, Europe and elsewhere;</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sufficient numbers of patients for our future clinical trials for our pharmaceutical products;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research funding;</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new products using our True Human™ antibody discovery platform;</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 candidates for orphan and niche indications independently;</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federal, state and foreign regulatory requirements;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benefits, effectiveness and safety of our product candidates;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markets that may be addressed by our products and product candidates;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Xilonix™ and future products, if any;</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collaborators’ ability to obtain and maintain regulatory approvals for our product candidates;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market risk, including interest rate changes and foreign currency fluctuations;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4" w:name="page5"/>
    <w:bookmarkEnd w:id="4"/>
    <w:p>
      <w:pPr>
        <w:ind w:left="880" w:hanging="33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during which we will be an emerging growth company under the JOBS Act;</w:t>
      </w:r>
    </w:p>
    <w:p>
      <w:pPr>
        <w:spacing w:after="0" w:line="2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and retain the employees required to grow our business;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projected expenditures;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success of competing therapies that are or become available; and</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and our needs for additional financing.</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2015 filed with the SEC on March 30, 2016,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46,793</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2,048</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48,841</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10,082</w:t>
            </w:r>
          </w:p>
        </w:tc>
        <w:tc>
          <w:tcPr>
            <w:tcW w:w="4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construction in progress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19,369</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78,292</w:t>
            </w: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4,465</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2,176</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6,641</w:t>
            </w:r>
          </w:p>
        </w:tc>
        <w:tc>
          <w:tcPr>
            <w:tcW w:w="4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rent</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6,663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unlimited shares authorized, no shares outstanding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unlimited shares authorized, 32,443,792 and 32,279,106shares outstanding at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 and December 31, 2015,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238,808</w:t>
            </w:r>
          </w:p>
        </w:tc>
        <w:tc>
          <w:tcPr>
            <w:tcW w:w="4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(167,013)</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71,629</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78,292</w:t>
            </w: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9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7,521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12,459</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10,814</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36,322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16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32,436,207</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32,050,565</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32,367,588</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30,342,741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8"/>
          <w:szCs w:val="18"/>
          <w:color w:val="auto"/>
        </w:rPr>
        <w:t>Foreign currency translation adjustment Comprehensive loss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7"/>
          <w:szCs w:val="17"/>
          <w:color w:val="auto"/>
        </w:rPr>
        <w:t>Consolidated Statements of Comprehensive Loss</w:t>
      </w:r>
    </w:p>
    <w:p>
      <w:pPr>
        <w:spacing w:after="0" w:line="21"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29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0"/>
        </w:trPr>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8"/>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421"/>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w:t>
            </w:r>
          </w:p>
        </w:tc>
      </w:tr>
      <w:tr>
        <w:trPr>
          <w:trHeight w:val="234"/>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2">
            <w:col w:w="3220" w:space="720"/>
            <w:col w:w="7480"/>
          </w:cols>
          <w:pgMar w:left="240" w:top="468"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1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 on building construction</w:t>
            </w:r>
          </w:p>
        </w:tc>
        <w:tc>
          <w:tcPr>
            <w:tcW w:w="1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stock option plan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subscription receivable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on cash and cash equivalents</w:t>
            </w:r>
          </w:p>
        </w:tc>
        <w:tc>
          <w:tcPr>
            <w:tcW w:w="1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68"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48,351</w:t>
            </w:r>
          </w:p>
        </w:tc>
      </w:tr>
      <w:tr>
        <w:trPr>
          <w:trHeight w:val="234"/>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91,051</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57,329</w:t>
            </w: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46,793</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105,680</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46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4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9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446</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expenditures on building construction</w:t>
            </w:r>
          </w:p>
        </w:tc>
        <w:tc>
          <w:tcPr>
            <w:tcW w:w="3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1,267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XBiotech, Inc. (“XBiotech” or “the Company”) was incorporated in Canada on March 22, 2005. XBiotech USA Inc., a wholly-owned subsidiary of the Company, was incorporated in Delaware, United States (“U.S.”)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 The Company’s headquarters are located in Austin, Texas.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its inception, XBiotech has focused on advancing technology to rapidly identify and clone antibodies from individuals that have resistance to disease.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heart of the Company is a proprietary technical knowhow to translate natural human immunity into therapeutic product candidates.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2005, the Company began to develop a new framework for commercial manufacturing, using technology that required less capital and fewer operators and provided greater flexibility than standard industry practices.</w:t>
      </w:r>
    </w:p>
    <w:p>
      <w:pPr>
        <w:spacing w:after="0" w:line="16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With the manufacturing capability to produce its True Human</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U.S. and abroad to investigate the antibody effect in patients that had vascular disease, leukemia, type 2 diabetes, psoriasis or acne. As of September 30, 2016, XBiotech's lead product, Xilonix™ is in Phase III clinical trials in the United States with a Fast Track designation by the U.S. Food and Drug Administration (FDA). In Europe, Xilonix™ Phase III clinical trials have been completed, and the therapy is under review following the validation of its Market Authorization Application by the European Medicines Agency (EMA).</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w:t>
      </w:r>
    </w:p>
    <w:p>
      <w:pPr>
        <w:spacing w:after="0" w:line="176" w:lineRule="exact"/>
        <w:rPr>
          <w:sz w:val="20"/>
          <w:szCs w:val="20"/>
          <w:color w:val="auto"/>
        </w:rPr>
      </w:pPr>
    </w:p>
    <w:p>
      <w:pPr>
        <w:ind w:right="884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have been prepared in conformity with accounting principles generally accepted in the United States, or US GAAP.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interim unaudited consolidated financial statements have been prepared in accordance with accounting principles generally accepted in the United States, or US GAAP, and Securities and Exchange Commission, or SEC, requirements for interim financial statements. In the Company’s opinion, the accompanying unaudited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US GAAP have been omitted from these interim unaudited consolidated financial statements pursuant to the rules and regulations of the SEC. Accordingly, these interim unaudited consolidated financial statements should be read in conjunction with the consolidated financial statements and the accompanying notes for the fiscal year ended December 31, 2015, which are included in the Company’s Annual Report on Form 10-K, filed with the SEC on March 30, 2016. The results of operations for the three month and nine month periods ended September 30, 2016 are not necessarily indicative of the results to be expected for the year ending December 31, 2016 or for any other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transactions have been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completion of its initial public offering in April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research and development costs are charged to expense as incurred. Research and development costs include salaries and personnel-related costs, consulting fees, fees paid for contract research services, the costs of laboratory equipment and facilities, license fees and other external costs. Costs incurred to acquire licenses for intellectual property to be used in research and development activities with no alternative future use are expensed as incurred as research and development.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deferred and capitalized.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capitalized amounts are expensed as the related goods are delivered or the services are performed.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 The Company classifies interest recognized pursuant to its deferred tax assets as interest expense, when appropriate.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share-based compensation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1" w:name="page12"/>
    <w:bookmarkEnd w:id="11"/>
    <w:p>
      <w:pPr>
        <w:ind w:right="12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recognized for the three months and nine months ended September 30, 2016 and 2015 was included in the following line items on the Consolidated Statement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Pr>
          <w:p>
            <w:pPr>
              <w:spacing w:after="0"/>
              <w:rPr>
                <w:sz w:val="19"/>
                <w:szCs w:val="19"/>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10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1,749</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0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2,291</w:t>
            </w: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1,678</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10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4,040</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18"/>
                <w:szCs w:val="18"/>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18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1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1.09%</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1.60%  1.75%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1.09%</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2.42%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8.50</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16.91</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7.09</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17.99</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related tax benefits were recognized for the three months and nine months ended September 30, 2016 and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consisted primarily of cash on deposit in U.S., German, Swiss and Canadian banks. Cash and cash equivalents are stated at cost which approximates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76" w:lineRule="exact"/>
        <w:rPr>
          <w:sz w:val="20"/>
          <w:szCs w:val="20"/>
          <w:color w:val="auto"/>
        </w:rPr>
      </w:pPr>
    </w:p>
    <w:p>
      <w:pPr>
        <w:ind w:left="880" w:hanging="3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880" w:right="600" w:hanging="332"/>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2" w:name="page13"/>
    <w:bookmarkEnd w:id="12"/>
    <w:p>
      <w:pPr>
        <w:ind w:left="880" w:right="100" w:hanging="332"/>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September 30, 2016 and December 31, 2015,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September 30, 2016 and December 31, 2015, due to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Property and equipment, which consists of land, construction in process, furniture and fixtures, computers and office equipment, scientific equipment, leasehold improvements and vehicles are stated at cost and depreciated over the estimated useful lives of the assets, with the exception of land which is not depreciated and construction in process which has not yet been placed in service. The useful lives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 years</w:t>
            </w:r>
          </w:p>
        </w:tc>
      </w:tr>
      <w:tr>
        <w:trPr>
          <w:trHeight w:val="432"/>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Computers and office equipment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Scientific equipment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Shorter of asset’s useful life or remaining lease term</w:t>
            </w:r>
          </w:p>
        </w:tc>
      </w:tr>
      <w:tr>
        <w:trPr>
          <w:trHeight w:val="432"/>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Vehicles</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Costs of major additions and betterments are capitalized. Maintenance and repairs, which do not improve or extend the life of the respective assets, are charged to expense as incurred. Upon retirement or disposal, the cost of the disposed asset and the related accumulated depreciation are removed from the property and equipment, net, accounts and the resulting gain or loss is recognized. As of September 30, 2016, XBiotech plans to spend $1.2 million more on construction and $5.6 million more on equipment, based on the forecast.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Construction in Progress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is currently preparing its new manufacturing facility to produce registration batches of product. Data from these manufacturing runs will be submitted to EMA to support approval of the new facility. The current plan is to submit that filing at the end of Q1 2017.The facility will not be placed into service until approval has been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The Company periodically evaluates its long-lived assets for potential impairment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September 30,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7" w:lineRule="exact"/>
        <w:rPr>
          <w:sz w:val="20"/>
          <w:szCs w:val="20"/>
          <w:color w:val="auto"/>
        </w:rPr>
      </w:pPr>
    </w:p>
    <w:p>
      <w:pPr>
        <w:jc w:val="both"/>
        <w:ind w:right="640"/>
        <w:spacing w:after="0" w:line="261" w:lineRule="auto"/>
        <w:rPr>
          <w:sz w:val="20"/>
          <w:szCs w:val="20"/>
          <w:color w:val="auto"/>
        </w:rPr>
      </w:pPr>
      <w:r>
        <w:rPr>
          <w:rFonts w:ascii="Times New Roman" w:cs="Times New Roman" w:eastAsia="Times New Roman" w:hAnsi="Times New Roman"/>
          <w:sz w:val="18"/>
          <w:szCs w:val="18"/>
          <w:color w:val="auto"/>
        </w:rPr>
        <w:t xml:space="preserve">ASC Topic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August 2014, the FASB issued ASU 2014-15</w:t>
      </w:r>
      <w:r>
        <w:rPr>
          <w:rFonts w:ascii="Times New Roman" w:cs="Times New Roman" w:eastAsia="Times New Roman" w:hAnsi="Times New Roman"/>
          <w:sz w:val="18"/>
          <w:szCs w:val="18"/>
          <w:i w:val="1"/>
          <w:iCs w:val="1"/>
          <w:color w:val="auto"/>
        </w:rPr>
        <w:t>, Disclosure of Uncertainties about an Entity’s Ability to Continue as a Going Concern</w:t>
      </w:r>
      <w:r>
        <w:rPr>
          <w:rFonts w:ascii="Times New Roman" w:cs="Times New Roman" w:eastAsia="Times New Roman" w:hAnsi="Times New Roman"/>
          <w:sz w:val="18"/>
          <w:szCs w:val="18"/>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 The Company is currently evaluating the effect that the adoption of ASU 2014-15 will have on its financial statements.</w:t>
      </w:r>
    </w:p>
    <w:p>
      <w:pPr>
        <w:spacing w:after="0" w:line="18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change with ASU 2016-2 is the requirement for the recognition of lease assets and lease liabilities by lessees for those leases classified as operating leases under previous US GAAP. The new standard is effective for fiscal years, and interim periods within those fiscal years, beginning after December 15, 2018, with early adoption permitted. The Company is currently evaluating the effect that the adoption of ASU 2016-02 will have on its financial statements.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No. 2016-09, “Improvements to Employee Share-Based Payment Accounting,” or ASU 2016-09, which amends ASC Topic 718, “Compensation – Stock Compensation.” ASU 2016-09 simplifies several aspects of the accounting for share-based payment transactions, including the income tax consequences, classification of awards as either equity or liabilities, and classification on the statement of cash flows. The standard is effective for fiscal years beginning after December 31, 2016, and interim periods within those years and early adoption is permitted. The Company is currently evaluating how the adoption of this standard will impact its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provide for income taxes in 2016 because the Company has projected net losses for all jurisdictions for the full year 2016. The Company has recorded a full valuation allowance for its net deferred tax assets in 2016 and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January to March 2015, warrants to purchase a total of 164,999 shares of common stock were exercised at $15.00 per share for a total of $2.4 million in proceeds. Also, the Company received approximately $8,000 in January 2015 from 15,000 exercised stock options at $0.55 per share.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17, 2015, the Company sold 4.0 million shares of common stock at $19.00 per share in its Initial Public Offering (“IPO”) resulting in net proceeds of $70.6 million.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April to June 2015, excluding the IPO, the Company issued 208,333 shares of common stock for total proceeds of approximately $3.1 million from the exercise of warrants by common stock shareholders. Also, the Company received $0.7 million from 106,000 exercised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2015, 12,000 stock options were exercised at a price of $2.50 for total proceeds of $30,000.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October through December 31, 2015, 226,141 shares of common stock were issued upon the exercise of stock option at the price $ 0.53 to $10 per share for a total of $0.6 million.</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From January through September 2016, 164,686 shares of common stock were issued upon the exercise of stock options at a price of $ 0.78 to $19.09 per share for a total of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Stock Options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each of November 11, 2005 and March 13, 2015, the board of directors of the Company adopted a stock option plan (collectively, “the Plans”). Options may no longer be granted under the Plan adopted in 2005, and under the Plan adopted in 2015, the Company may grant incentive or non-qualified stock options to directors, officers, employees or consultants of the Company or its affiliates.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changes in common stock options issued under the Plans is as follows:</w:t>
            </w:r>
          </w:p>
        </w:tc>
        <w:tc>
          <w:tcPr>
            <w:tcW w:w="1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2015</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4,786,577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15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357,833</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7.71</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(13,000)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2.50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(48,250)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2016</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5,083,160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15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398,500</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19.10</w:t>
            </w:r>
          </w:p>
        </w:tc>
        <w:tc>
          <w:tcPr>
            <w:tcW w:w="20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(136,570)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(63,375)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June 30, 2016</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5,281,715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150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242,000</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16.80</w:t>
            </w:r>
          </w:p>
        </w:tc>
        <w:tc>
          <w:tcPr>
            <w:tcW w:w="200" w:type="dxa"/>
            <w:vAlign w:val="bottom"/>
          </w:tcPr>
          <w:p>
            <w:pPr>
              <w:spacing w:after="0"/>
              <w:rPr>
                <w:sz w:val="17"/>
                <w:szCs w:val="17"/>
                <w:color w:val="auto"/>
              </w:rPr>
            </w:pP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(286,625)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2016</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5,221,974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2016, there was approximately $5.1 million of unrecognized compensation cost, related to stock options granted under the Plan which will be amortized to stock compensation expense over the next 2.29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computation of basic and diluted net loss per share for the three months and nine months ended September 30, 2016 and 2015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9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5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(25,594)</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number of common shares—basic and diluted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32,436,207</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32,050,565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32,367,588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30,342,741</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726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2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5,221,974</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4,998,343</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Pr>
          <w:p>
            <w:pPr>
              <w:spacing w:after="0"/>
              <w:rPr>
                <w:sz w:val="19"/>
                <w:szCs w:val="19"/>
                <w:color w:val="auto"/>
              </w:rPr>
            </w:pPr>
          </w:p>
        </w:tc>
        <w:tc>
          <w:tcPr>
            <w:tcW w:w="1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5,221,974</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4,998,343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2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16</w:t>
            </w:r>
          </w:p>
        </w:tc>
        <w:tc>
          <w:tcPr>
            <w:tcW w:w="1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0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00" w:type="dxa"/>
            <w:vAlign w:val="bottom"/>
            <w:shd w:val="clear" w:color="auto" w:fill="000000"/>
          </w:tcPr>
          <w:p>
            <w:pPr>
              <w:spacing w:after="0"/>
              <w:rPr>
                <w:sz w:val="5"/>
                <w:szCs w:val="5"/>
                <w:color w:val="auto"/>
              </w:rPr>
            </w:pPr>
          </w:p>
        </w:tc>
        <w:tc>
          <w:tcPr>
            <w:tcW w:w="528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Regarding the previously disclosed securities class action complaints, a motion to dismiss filed by our counsel in the U.S. District Court for the Western District of Texas was granted with prejudice on October 7, 2016. Plaintiffs in the California case did not refile in Texas after being given the opportunity, therefore litigation continues in California. No trial or other dates have been set. We are unable to estimate the outcome of the California matter or the resulting financial impact to us,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26, 2016, the Company entered into a Common Stock Sales Agreement with H.C. Wainwright &amp; Co. LLC which establishes an at-the-market equity program pursuant to which we may offer and sell shares of our common stock, no par value per share, from time to time as set forth in the Sales Agreement. The Sales Agreement provides for the sale of shares of our Common Stock having an aggregate offering price of up to $50,260,000. Sales of Shares under the Sales Agreement will be made pursuant to the registration statement on Form S-3, which was declared effective by the U.S. Securities and Exchange Commission on September 1, 2016, and a related Prospectus Supplement filed with the SEC on September 26, 2016. On November 1, 2016, we sold 100,000 shares of common stock at a price of $13.60 per share for a total gross proceeds of approximately $1.36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46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XBiotech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to market, we have also developed a proprietary True Human™ monoclonal antibody discovery platform and manufacturing system.</w:t>
      </w:r>
    </w:p>
    <w:p>
      <w:pPr>
        <w:spacing w:after="0" w:line="184"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We have never been profitable and, as of September 30, 2016, we had an accumulated deficit of $167.0 million. We had net losses of $12.5 million and $36.4 million for three months and nine months ended September 30, 2016, respectively, compared to $10.7 million and $25.6 million for three months and nine months ended September 30, 2015,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September 30, 2016, we had 106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XBiotech's marketing authorization application for Xilonix™ for the treatment of colorectal cancer remains on schedule to possibly achieve a decision in 2016 by the European Medicines Agency (EMA).</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phase III colorectal cancer study being conducted under a Fast Track designation from the FDA remains on-track. This study is randomized 2:1 with patients receiving Xilonix™ or placebo plus best supportive care with a primary endpoint of overall survival.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2 study of Xilonix™ in subjects with Pyoderma Gangrenosum has been completed and data is being finalized.</w:t>
      </w:r>
    </w:p>
    <w:p>
      <w:pPr>
        <w:spacing w:after="0" w:line="223" w:lineRule="exact"/>
        <w:rPr>
          <w:sz w:val="20"/>
          <w:szCs w:val="20"/>
          <w:color w:val="auto"/>
        </w:rPr>
      </w:pPr>
    </w:p>
    <w:p>
      <w:pPr>
        <w:jc w:val="both"/>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The Company’s Phase I/II clinical study assessing 514G3 as a treatment of </w:t>
      </w:r>
      <w:r>
        <w:rPr>
          <w:rFonts w:ascii="Times New Roman" w:cs="Times New Roman" w:eastAsia="Times New Roman" w:hAnsi="Times New Roman"/>
          <w:sz w:val="18"/>
          <w:szCs w:val="18"/>
          <w:i w:val="1"/>
          <w:iCs w:val="1"/>
          <w:color w:val="auto"/>
        </w:rPr>
        <w:t>Staphylococcus Aureus</w:t>
      </w:r>
      <w:r>
        <w:rPr>
          <w:rFonts w:ascii="Times New Roman" w:cs="Times New Roman" w:eastAsia="Times New Roman" w:hAnsi="Times New Roman"/>
          <w:sz w:val="18"/>
          <w:szCs w:val="18"/>
          <w:color w:val="auto"/>
        </w:rPr>
        <w:t xml:space="preserve"> Bacteremia remains on course with potential enrollment completion by end of year.</w:t>
      </w:r>
    </w:p>
    <w:p>
      <w:pPr>
        <w:spacing w:after="0" w:line="16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is currently preparing the new manufacturing facility to produce registration batches of product. Data from these manufacturing runs will be submitted to EMA to support approval of the new facility. The current plan is to submit that filing at the end of Q1 2017.The facility will not be placed into service until approval has been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1080" w:firstLine="441"/>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identifying and developing our drug candidates. These expenses consist primarily of salaries and related expenses, share-based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8" w:name="page19"/>
    <w:bookmarkEnd w:id="18"/>
    <w:p>
      <w:pPr>
        <w:ind w:firstLine="441"/>
        <w:spacing w:after="0" w:line="254" w:lineRule="auto"/>
        <w:rPr>
          <w:sz w:val="20"/>
          <w:szCs w:val="20"/>
          <w:color w:val="auto"/>
        </w:rPr>
      </w:pPr>
      <w:r>
        <w:rPr>
          <w:rFonts w:ascii="Times New Roman" w:cs="Times New Roman" w:eastAsia="Times New Roman" w:hAnsi="Times New Roman"/>
          <w:sz w:val="18"/>
          <w:szCs w:val="18"/>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September 30, 2016, we have recorded total research and development expenses, including share-based compensation, of $129.9 million. Our total research and development expenses for the three months and nine months ended September 30, 2016 were $9.8 million and $28.8 million, respectively, compared to $9.7 million and $20.9 million for the three months and nine months ended September 30, 2015, respectively. Share-based compensation accounted for $0.6 million and $1.7 million for the three months and nine months ended September 30, 2016, respectively, compared to $0.7 million and $1.7 million for the three months and nine months ended September 30, 2015, respectively.</w:t>
      </w:r>
    </w:p>
    <w:p>
      <w:pPr>
        <w:spacing w:after="0" w:line="18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expenses, as a percentage of total operating expenses for the three months and nine months ended September 30, 2016 were 78% and 79%, respectively, compared to 90% and 82% for the three months and nine months ended September 30, 2015, respectively. The percentages, </w:t>
      </w:r>
      <w:r>
        <w:rPr>
          <w:rFonts w:ascii="Times New Roman" w:cs="Times New Roman" w:eastAsia="Times New Roman" w:hAnsi="Times New Roman"/>
          <w:sz w:val="18"/>
          <w:szCs w:val="18"/>
          <w:i w:val="1"/>
          <w:iCs w:val="1"/>
          <w:color w:val="auto"/>
        </w:rPr>
        <w:t xml:space="preserve">excluding </w:t>
      </w:r>
      <w:r>
        <w:rPr>
          <w:rFonts w:ascii="Times New Roman" w:cs="Times New Roman" w:eastAsia="Times New Roman" w:hAnsi="Times New Roman"/>
          <w:sz w:val="18"/>
          <w:szCs w:val="18"/>
          <w:color w:val="auto"/>
        </w:rPr>
        <w:t>share-based compensation, for the three months and nine months ended September 30, 2016 were 81% and 84%, respectively, compared to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87% for the three months and nine months ended September 30, 2015, respectively.</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Based on the results of our preclinical studies, we anticipate that we will select drug candidates and research projects for further development on an ongoing basis in response to their preclinical and clinical success as well as commercial potential. For research and development candidates in early stages of development, it is premature to estimate when material net cash inflows from these projects might occur.</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Increased research and development costs for the nine months ended September 30, 2016 were anticipated and primarily due to Phase II and Phase III studies related to XBiotech’s research and development programs in Xilonix™ and 514G3 as well as laboratory and manufacturing supplies purchased for general manufacturing activities and for the new facility.</w:t>
      </w:r>
    </w:p>
    <w:p>
      <w:pPr>
        <w:spacing w:after="0" w:line="176"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Due to the fact that our drug candidates are in the early stage of development, we cannot estimate anticipated completion dates and when we might receive material net cash inflows from our research and development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professional fees for legal services, and public relations expenses. Our total general and administration expenses for the three months and nine months ended September 30, 2016 were $2.7 million and $7.5 million, respectively, compared to $1.0 million and $4.5 million for the three months and nine months ended September 30, 2015, respectively. Stock-based compensation accounted for $0.6 million and $2.3 million for the three months and nine months ended September 30, 2016, respectively, compared to $0.2 million and $1.7 million for the three months and nine months ended September 30, 2015,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320" w:firstLine="441"/>
        <w:spacing w:after="0" w:line="28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9" w:name="page20"/>
    <w:bookmarkEnd w:id="19"/>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6"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Share-based awards are measured at fair value at each grant date. We recognize share-based compensation expenses ratably over the requisite service period of the option award.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Share-Based Compensation Grants</w:t>
      </w:r>
    </w:p>
    <w:p>
      <w:pPr>
        <w:spacing w:after="0" w:line="229" w:lineRule="exact"/>
        <w:rPr>
          <w:sz w:val="20"/>
          <w:szCs w:val="20"/>
          <w:color w:val="auto"/>
        </w:rPr>
      </w:pPr>
    </w:p>
    <w:p>
      <w:pPr>
        <w:jc w:val="both"/>
        <w:ind w:right="20" w:firstLine="441"/>
        <w:spacing w:after="0" w:line="272" w:lineRule="auto"/>
        <w:rPr>
          <w:sz w:val="20"/>
          <w:szCs w:val="20"/>
          <w:color w:val="auto"/>
        </w:rPr>
      </w:pPr>
      <w:r>
        <w:rPr>
          <w:rFonts w:ascii="Times New Roman" w:cs="Times New Roman" w:eastAsia="Times New Roman" w:hAnsi="Times New Roman"/>
          <w:sz w:val="17"/>
          <w:szCs w:val="17"/>
          <w:color w:val="auto"/>
        </w:rPr>
        <w:t>The determination of the fair value of share-based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Black-Scholes and other option valuation models require the input of highly subjective assumptions, including the expected stock price volatility. If we made different assumptions, our share-based compensation expenses, net loss, and net loss per common share could be significantly different. Prior to our IPO in April 2015, we issued common stock for cash consideration to new investors. We believe that such transactions represent the best evidence of fair value of our common stock. After our IPO, we determine that the fair value of common stock equal to the closing price of the Company’s common stock as reported by NASDAQ on the option grant date.</w:t>
      </w:r>
    </w:p>
    <w:p>
      <w:pPr>
        <w:spacing w:after="0" w:line="187"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following summarizes the assumptions used for estimating the fair value of share-based compensation for the stock options granted during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80" w:type="dxa"/>
            <w:vAlign w:val="bottom"/>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6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80" w:type="dxa"/>
            <w:vAlign w:val="bottom"/>
            <w:vMerge w:val="restart"/>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66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320" w:type="dxa"/>
            <w:vAlign w:val="bottom"/>
          </w:tcPr>
          <w:p>
            <w:pPr>
              <w:spacing w:after="0"/>
              <w:rPr>
                <w:sz w:val="18"/>
                <w:szCs w:val="18"/>
                <w:color w:val="auto"/>
              </w:rPr>
            </w:pPr>
          </w:p>
        </w:tc>
        <w:tc>
          <w:tcPr>
            <w:tcW w:w="11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1.60%    1.75%</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1.93%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$8.50</w:t>
            </w: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rPr>
              <w:t>$16.91</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$7.09</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$17.99</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Due to the lack of sufficient trading history for our common stock, expected volatility is based on historical volatilities for publicly traded stock of comparable companies over the estimated expected life of the stock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0" w:name="page21"/>
    <w:bookmarkEnd w:id="20"/>
    <w:p>
      <w:pPr>
        <w:ind w:right="500" w:firstLine="441"/>
        <w:spacing w:after="0" w:line="266" w:lineRule="auto"/>
        <w:rPr>
          <w:sz w:val="20"/>
          <w:szCs w:val="20"/>
          <w:color w:val="auto"/>
        </w:rPr>
      </w:pPr>
      <w:r>
        <w:rPr>
          <w:rFonts w:ascii="Times New Roman" w:cs="Times New Roman" w:eastAsia="Times New Roman" w:hAnsi="Times New Roman"/>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share-based compensation expenses, net of pre-vesting forfeitures, to be recognized in our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record any revenue during the three months and nine months ended September 30, 2016 and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2,437</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manufacturing supplies</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2,217</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3,598</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(1,461)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6,274</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5,755</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3,180</w:t>
            </w:r>
          </w:p>
        </w:tc>
        <w:tc>
          <w:tcPr>
            <w:tcW w:w="3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11,911</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8,463</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3,448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1,749</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3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3,112</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7,905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79"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to $9.8 million for the three months ended September 30, 2016 compared to $9.7 million for the three months ended September 30, 2015. Research and development expenses increased by 38% to $28.8 million for the nine months ended September 30, 2016 compared to $20.9 million for the nine months ended September 30, 2015.</w:t>
      </w:r>
    </w:p>
    <w:p>
      <w:pPr>
        <w:spacing w:after="0" w:line="176"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three months difference in research and development expenses was mainly due to a $1.5 million decrease in clinical trial activities, related to a Europe trial started in 2015 and completed in early 2016, offset by a continued increase in laboratory and manufacturing supplies expense due to an increase in manufacturing activities as well as manufacturing supplies purchased for the new facility. Salaries and related expenses continued to increase due to the growing size of the workforce.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1" w:name="page22"/>
    <w:bookmarkEnd w:id="21"/>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Compared to the nine months ended September 30, 2015, the research and development expense increase in the nine months ended September 30, 2016 was primarily caused by substantial growth in laboratory and manufacturing operations which led to an increase in purchased supplies. Labor costs also increased due to a rise in current employees’ salaries as well as an increase in the Research and Development workforce from 58 to 80. Clinical trial expenses increased due to an expansion of clinical sites globally.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Patent filing expense</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2,685</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Patent filing expense</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w:t>
            </w:r>
          </w:p>
        </w:tc>
        <w:tc>
          <w:tcPr>
            <w:tcW w:w="6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2,979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79"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148% to $2.7 million for the three months ended September 30, 2016 compared to $1.1 million for the three months ended September 30, 2015. General and administrative expenses increased 66% to $7.5 million for the nine months ended September 30, 2015 compared to $4.5 million for the nine months ended September 30, 2015.</w:t>
      </w:r>
    </w:p>
    <w:p>
      <w:pPr>
        <w:spacing w:after="0" w:line="176"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The three months increase was primarily related to a $1.0 million increase in fees related to commercialization activities in Europe. The increase in stock–based compensation expense was due to the grant of stock options to board members in September 2016. The increase is also attributable to salaries and related expenses, which continued to increase due to the onboarding of new employees in 2016.</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nine months increase was principally due to a $0.5 million salary increase from growth of our workforce, and a $1.4 million increase in the fees related to commercialization activities in Europe. Share-based compensation also increased by $0.6 million due to the grant of stock options to outside board members in March and September 2016. Other reasons for increases included insurance, travel expense and recruiting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other income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0" w:type="dxa"/>
            <w:vAlign w:val="bottom"/>
          </w:tcPr>
          <w:p>
            <w:pPr>
              <w:spacing w:after="0"/>
              <w:rPr>
                <w:sz w:val="19"/>
                <w:szCs w:val="19"/>
                <w:color w:val="auto"/>
              </w:rPr>
            </w:pPr>
          </w:p>
        </w:tc>
        <w:tc>
          <w:tcPr>
            <w:tcW w:w="33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4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45"/>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8"/>
        </w:trPr>
        <w:tc>
          <w:tcPr>
            <w:tcW w:w="4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2" w:right="239" w:bottom="1440" w:gutter="0" w:footer="0" w:header="0"/>
        </w:sectPr>
      </w:pPr>
    </w:p>
    <w:bookmarkStart w:id="22" w:name="page23"/>
    <w:bookmarkEnd w:id="22"/>
    <w:p>
      <w:pPr>
        <w:ind w:firstLine="441"/>
        <w:spacing w:after="0" w:line="266" w:lineRule="auto"/>
        <w:rPr>
          <w:sz w:val="20"/>
          <w:szCs w:val="20"/>
          <w:color w:val="auto"/>
        </w:rPr>
      </w:pPr>
      <w:r>
        <w:rPr>
          <w:rFonts w:ascii="Times New Roman" w:cs="Times New Roman" w:eastAsia="Times New Roman" w:hAnsi="Times New Roman"/>
          <w:sz w:val="18"/>
          <w:szCs w:val="18"/>
          <w:color w:val="auto"/>
        </w:rPr>
        <w:t>Other income consists primarily of a $25 thousand foreign exchange loss for the three months ended September 30, 2016, compared to a $78 thousand gain for the three months ended September 30, 2015. Also, foreign exchange loss for the nine months ended September 30, 2016 was $41 thousand, compared to $155 thousand for the nine months ended September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62"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Since our inception on March 22, 2005 through September 30, 2016, we have funded our operations principally through the sales of equity securities in private and public transactions, which have provided aggregate cash proceeds of approximately $287.9 million. The following table summarizes our sources and uses of cash (in thousands):</w:t>
      </w:r>
    </w:p>
    <w:p>
      <w:pPr>
        <w:sectPr>
          <w:pgSz w:w="11900" w:h="16838" w:orient="portrait"/>
          <w:cols w:equalWidth="0" w:num="1">
            <w:col w:w="11420"/>
          </w:cols>
          <w:pgMar w:left="240" w:top="4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right="3500"/>
        <w:spacing w:after="0" w:line="276" w:lineRule="auto"/>
        <w:rPr>
          <w:sz w:val="20"/>
          <w:szCs w:val="20"/>
          <w:color w:val="auto"/>
        </w:rPr>
      </w:pPr>
      <w:r>
        <w:rPr>
          <w:rFonts w:ascii="Times New Roman" w:cs="Times New Roman" w:eastAsia="Times New Roman" w:hAnsi="Times New Roman"/>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(22,613)</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866</w:t>
            </w:r>
          </w:p>
        </w:tc>
        <w:tc>
          <w:tcPr>
            <w:tcW w:w="4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77,468</w:t>
            </w:r>
          </w:p>
        </w:tc>
      </w:tr>
      <w:tr>
        <w:trPr>
          <w:trHeight w:val="234"/>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48,351</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60" w:space="720"/>
            <w:col w:w="2840"/>
          </w:cols>
          <w:pgMar w:left="240" w:top="472" w:right="239" w:bottom="1440" w:gutter="0" w:footer="0" w:header="0"/>
          <w:type w:val="continuous"/>
        </w:sect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and 2015, our operating activities used net cash of $33.2 million and $22.6 million, respectively. The use of net cash in each of these periods primarily resulted from our net losses. The increase in net loss from operations for the nine months ended September 30, 2016 as compared to the nine months ended September 30, 2015 was mainly due to increases in clinical trial activities, labor cost and manufacturing supplies.</w:t>
      </w:r>
    </w:p>
    <w:p>
      <w:pPr>
        <w:spacing w:after="0" w:line="180"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and 2015, our investing activities used net cash of $11.9 million and $6.6 million, respectively. We spent approximately $3.0 million more on the construction of new facilities during the nine months ended September 30, 2016 compared to the nine months ended September 30, 2015. We also spent approximately $2.3 million more on scientific equipment during the nine months ended September 30, 2016 compared to the nine months ended September 30, 2015.</w:t>
      </w:r>
    </w:p>
    <w:p>
      <w:pPr>
        <w:spacing w:after="0" w:line="180"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2016 and 2015, our financing activities provided net cash proceeds of $0.9 million and $77.5 million, respectively. During the nine months ended September 30, 2016, employees exercised stock options to purchase a total of 164,686 shares of common stock. In April 2015, we sold an aggregate of 4,000,000 shares of our common stock at a price of $19.00 per share and received IPO proceeds of $76.0 million and incurred offering costs of $5.4 million, which consisted of underwriters’ commission as well as direct incremental legal, accounting and other professional service fees related to our IPO.</w:t>
      </w:r>
    </w:p>
    <w:p>
      <w:pPr>
        <w:spacing w:after="0" w:line="184" w:lineRule="exact"/>
        <w:rPr>
          <w:sz w:val="20"/>
          <w:szCs w:val="20"/>
          <w:color w:val="auto"/>
        </w:rPr>
      </w:pPr>
    </w:p>
    <w:p>
      <w:pPr>
        <w:ind w:right="200" w:firstLine="441"/>
        <w:spacing w:after="0" w:line="258" w:lineRule="auto"/>
        <w:rPr>
          <w:sz w:val="20"/>
          <w:szCs w:val="20"/>
          <w:color w:val="auto"/>
        </w:rPr>
      </w:pPr>
      <w:r>
        <w:rPr>
          <w:rFonts w:ascii="Times New Roman" w:cs="Times New Roman" w:eastAsia="Times New Roman" w:hAnsi="Times New Roman"/>
          <w:sz w:val="18"/>
          <w:szCs w:val="18"/>
          <w:color w:val="auto"/>
        </w:rPr>
        <w:t>On September 26, 2016, we entered into a Common Stock Sales Agreement with H.C. Wainwright &amp; Co. LLC which establishes an at-the-market equity program pursuant to which we may offer and sell shares of our common stock, no par value per share, from time to time as set forth in the Sales Agreement. The Sales Agreement provides for the sale of shares of our Common Stock having an aggregate offering price of up to $50,260,000. Sales of Shares under the Sales Agreement will be made pursuant to the registration statement on Form S-3, which was declared effective by the U.S. Securities and Exchange Commission on September 1, 2016, and a related Prospectus Supplement filed with the SEC on September 26,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260" w:firstLine="441"/>
        <w:spacing w:after="0" w:line="281" w:lineRule="auto"/>
        <w:rPr>
          <w:sz w:val="20"/>
          <w:szCs w:val="20"/>
          <w:color w:val="auto"/>
        </w:rPr>
      </w:pPr>
      <w:r>
        <w:rPr>
          <w:rFonts w:ascii="Times New Roman" w:cs="Times New Roman" w:eastAsia="Times New Roman" w:hAnsi="Times New Roman"/>
          <w:sz w:val="17"/>
          <w:szCs w:val="17"/>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$181 thousand and $164 thousand for the three months ended September 30, 2016 and 2015, respectively. On February 28, 2015, we extended the lease for another 4 years. The future minimum lease payments are as follows as of September 30, 2016 (in thousands):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More than 3</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1 - 3 Years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facility leases</w:t>
            </w: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441"/>
        <w:spacing w:after="0" w:line="282" w:lineRule="auto"/>
        <w:rPr>
          <w:sz w:val="20"/>
          <w:szCs w:val="20"/>
          <w:color w:val="auto"/>
        </w:rPr>
      </w:pPr>
      <w:r>
        <w:rPr>
          <w:rFonts w:ascii="Times New Roman" w:cs="Times New Roman" w:eastAsia="Times New Roman" w:hAnsi="Times New Roman"/>
          <w:sz w:val="18"/>
          <w:szCs w:val="18"/>
          <w:color w:val="auto"/>
        </w:rPr>
        <w:t>Concerning the new manufacturing facility, the total estimated future payment to our general contractor is $1.2 million and to purchase new equipment is $5.6 million. The last payment is expected to occur in Q4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Since inception, we have not engaged in any off-balance sheet activities,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of Market Risks</w:t>
      </w:r>
    </w:p>
    <w:p>
      <w:pPr>
        <w:spacing w:after="0" w:line="229"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The Company is not currently exposed to material market risk arising from financial instruments, changes in interest rates or commodity prices, or fluctuations in foreign currencies. The Company currently engages in no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2016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4" w:name="page25"/>
    <w:bookmarkEnd w:id="24"/>
    <w:p>
      <w:pPr>
        <w:ind w:left="45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Regarding the previously disclosed securities class action complaints, a motion to dismiss filed by our counsel in the U.S. District Court for the Western District of Texas was granted with prejudice on October 7, 2016. Plaintiffs in the California case did not refile in Texas after being given the opportunity, therefore litigation continues in California. No trial or other dates have been set. We are unable to estimate the outcome of the California matter or the resulting financial impact to us,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our Annual Report on Form 10-K for the year ended December 31, 2015. Please carefully consider the information set forth in this Quarterly Report on Form 10-Q and the risk factors discussed in Part I, “Item 1A. Risk Factors” in our Annual Report on Form 10-K for the year ended December 31, 2015,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120" w:type="dxa"/>
            <w:vAlign w:val="bottom"/>
          </w:tcPr>
          <w:p>
            <w:pPr>
              <w:spacing w:after="0"/>
              <w:rPr>
                <w:sz w:val="20"/>
                <w:szCs w:val="20"/>
                <w:color w:val="auto"/>
              </w:rPr>
            </w:pPr>
          </w:p>
        </w:tc>
      </w:tr>
      <w:tr>
        <w:trPr>
          <w:trHeight w:val="41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Common Stock Sales Agreement, dated September 23, 2016, between XBiotech Inc. and H.C.</w:t>
            </w:r>
          </w:p>
        </w:tc>
      </w:tr>
      <w:tr>
        <w:trPr>
          <w:trHeight w:val="216"/>
        </w:trPr>
        <w:tc>
          <w:tcPr>
            <w:tcW w:w="2300" w:type="dxa"/>
            <w:vAlign w:val="bottom"/>
          </w:tcPr>
          <w:p>
            <w:pPr>
              <w:spacing w:after="0"/>
              <w:rPr>
                <w:sz w:val="18"/>
                <w:szCs w:val="18"/>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Wainwright &amp; Co. LLC. (incorporated by reference to Exhibit 10.1 to the Company’s Current Report on Form</w:t>
            </w:r>
          </w:p>
        </w:tc>
      </w:tr>
      <w:tr>
        <w:trPr>
          <w:trHeight w:val="234"/>
        </w:trPr>
        <w:tc>
          <w:tcPr>
            <w:tcW w:w="2300" w:type="dxa"/>
            <w:vAlign w:val="bottom"/>
          </w:tcPr>
          <w:p>
            <w:pPr>
              <w:spacing w:after="0"/>
              <w:rPr>
                <w:sz w:val="20"/>
                <w:szCs w:val="20"/>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8-K filed with the SEC on September 26, 2016).</w:t>
            </w:r>
          </w:p>
        </w:tc>
      </w:tr>
      <w:tr>
        <w:trPr>
          <w:trHeight w:val="41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31.1</w:t>
            </w:r>
          </w:p>
        </w:tc>
        <w:tc>
          <w:tcPr>
            <w:tcW w:w="9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Certification of Principal Executive Officer Required Under Rule 13a-14(a) and 15d-14(a) of the</w:t>
            </w:r>
          </w:p>
        </w:tc>
      </w:tr>
      <w:tr>
        <w:trPr>
          <w:trHeight w:val="234"/>
        </w:trPr>
        <w:tc>
          <w:tcPr>
            <w:tcW w:w="2300" w:type="dxa"/>
            <w:vAlign w:val="bottom"/>
          </w:tcPr>
          <w:p>
            <w:pPr>
              <w:spacing w:after="0"/>
              <w:rPr>
                <w:sz w:val="20"/>
                <w:szCs w:val="20"/>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41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w:t>
            </w:r>
          </w:p>
        </w:tc>
        <w:tc>
          <w:tcPr>
            <w:tcW w:w="9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Certification of Principal Financial Officer Required Under Rule 13a-14(a) and 15d-14(a) of the</w:t>
            </w:r>
          </w:p>
        </w:tc>
      </w:tr>
      <w:tr>
        <w:trPr>
          <w:trHeight w:val="234"/>
        </w:trPr>
        <w:tc>
          <w:tcPr>
            <w:tcW w:w="2300" w:type="dxa"/>
            <w:vAlign w:val="bottom"/>
          </w:tcPr>
          <w:p>
            <w:pPr>
              <w:spacing w:after="0"/>
              <w:rPr>
                <w:sz w:val="20"/>
                <w:szCs w:val="20"/>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41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32.1</w:t>
            </w:r>
          </w:p>
        </w:tc>
        <w:tc>
          <w:tcPr>
            <w:tcW w:w="9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Required Under Rule 13a-</w:t>
            </w:r>
          </w:p>
        </w:tc>
      </w:tr>
      <w:tr>
        <w:trPr>
          <w:trHeight w:val="234"/>
        </w:trPr>
        <w:tc>
          <w:tcPr>
            <w:tcW w:w="2300" w:type="dxa"/>
            <w:vAlign w:val="bottom"/>
          </w:tcPr>
          <w:p>
            <w:pPr>
              <w:spacing w:after="0"/>
              <w:rPr>
                <w:sz w:val="20"/>
                <w:szCs w:val="20"/>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14(b) of the Securities Exchange Act of 1934, as amended, and 18 U.S.C. §1350.</w:t>
            </w:r>
          </w:p>
        </w:tc>
      </w:tr>
      <w:tr>
        <w:trPr>
          <w:trHeight w:val="41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The following financial statements from the XBiotech Inc. Quarterly Report on Form 10-Q for the</w:t>
            </w:r>
          </w:p>
        </w:tc>
      </w:tr>
      <w:tr>
        <w:trPr>
          <w:trHeight w:val="216"/>
        </w:trPr>
        <w:tc>
          <w:tcPr>
            <w:tcW w:w="2300" w:type="dxa"/>
            <w:vAlign w:val="bottom"/>
          </w:tcPr>
          <w:p>
            <w:pPr>
              <w:spacing w:after="0"/>
              <w:rPr>
                <w:sz w:val="18"/>
                <w:szCs w:val="18"/>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quarter ended September 30, 2016, formatted in Extensive Business Reporting Language (XBRL): (i)</w:t>
            </w:r>
          </w:p>
        </w:tc>
      </w:tr>
      <w:tr>
        <w:trPr>
          <w:trHeight w:val="216"/>
        </w:trPr>
        <w:tc>
          <w:tcPr>
            <w:tcW w:w="2300" w:type="dxa"/>
            <w:vAlign w:val="bottom"/>
          </w:tcPr>
          <w:p>
            <w:pPr>
              <w:spacing w:after="0"/>
              <w:rPr>
                <w:sz w:val="18"/>
                <w:szCs w:val="18"/>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condensed consolidated balance sheets, (ii) condensed consolidated statements of operations, (iii) condensed</w:t>
            </w:r>
          </w:p>
        </w:tc>
      </w:tr>
      <w:tr>
        <w:trPr>
          <w:trHeight w:val="216"/>
        </w:trPr>
        <w:tc>
          <w:tcPr>
            <w:tcW w:w="2300" w:type="dxa"/>
            <w:vAlign w:val="bottom"/>
          </w:tcPr>
          <w:p>
            <w:pPr>
              <w:spacing w:after="0"/>
              <w:rPr>
                <w:sz w:val="18"/>
                <w:szCs w:val="18"/>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consolidated statements of comprehensive loss, (iv) condensed consolidated statements of cash flows and (v)</w:t>
            </w:r>
          </w:p>
        </w:tc>
      </w:tr>
      <w:tr>
        <w:trPr>
          <w:trHeight w:val="234"/>
        </w:trPr>
        <w:tc>
          <w:tcPr>
            <w:tcW w:w="2300" w:type="dxa"/>
            <w:vAlign w:val="bottom"/>
          </w:tcPr>
          <w:p>
            <w:pPr>
              <w:spacing w:after="0"/>
              <w:rPr>
                <w:sz w:val="20"/>
                <w:szCs w:val="20"/>
                <w:color w:val="auto"/>
              </w:rPr>
            </w:pPr>
          </w:p>
        </w:tc>
        <w:tc>
          <w:tcPr>
            <w:tcW w:w="9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notes to condensed consolidated financial statements (detail tagged).</w:t>
            </w:r>
          </w:p>
        </w:tc>
      </w:tr>
      <w:tr>
        <w:trPr>
          <w:trHeight w:val="864"/>
        </w:trPr>
        <w:tc>
          <w:tcPr>
            <w:tcW w:w="2300" w:type="dxa"/>
            <w:vAlign w:val="bottom"/>
          </w:tcPr>
          <w:p>
            <w:pPr>
              <w:spacing w:after="0"/>
              <w:rPr>
                <w:sz w:val="24"/>
                <w:szCs w:val="24"/>
                <w:color w:val="auto"/>
              </w:rPr>
            </w:pPr>
          </w:p>
        </w:tc>
        <w:tc>
          <w:tcPr>
            <w:tcW w:w="91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26</w:t>
            </w:r>
          </w:p>
        </w:tc>
      </w:tr>
      <w:tr>
        <w:trPr>
          <w:trHeight w:val="68"/>
        </w:trPr>
        <w:tc>
          <w:tcPr>
            <w:tcW w:w="2300" w:type="dxa"/>
            <w:vAlign w:val="bottom"/>
            <w:shd w:val="clear" w:color="auto" w:fill="000000"/>
          </w:tcPr>
          <w:p>
            <w:pPr>
              <w:spacing w:after="0"/>
              <w:rPr>
                <w:sz w:val="5"/>
                <w:szCs w:val="5"/>
                <w:color w:val="auto"/>
              </w:rPr>
            </w:pPr>
          </w:p>
        </w:tc>
        <w:tc>
          <w:tcPr>
            <w:tcW w:w="91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2016</w:t>
            </w:r>
          </w:p>
        </w:tc>
        <w:tc>
          <w:tcPr>
            <w:tcW w:w="1440" w:type="dxa"/>
            <w:vAlign w:val="bottom"/>
          </w:tcPr>
          <w:p>
            <w:pPr>
              <w:spacing w:after="0"/>
              <w:rPr>
                <w:sz w:val="20"/>
                <w:szCs w:val="20"/>
                <w:color w:val="auto"/>
              </w:rPr>
            </w:pPr>
          </w:p>
        </w:tc>
        <w:tc>
          <w:tcPr>
            <w:tcW w:w="6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XBIOTECH INC.</w:t>
            </w:r>
          </w:p>
        </w:tc>
      </w:tr>
      <w:tr>
        <w:trPr>
          <w:trHeight w:val="824"/>
        </w:trPr>
        <w:tc>
          <w:tcPr>
            <w:tcW w:w="3020" w:type="dxa"/>
            <w:vAlign w:val="bottom"/>
          </w:tcPr>
          <w:p>
            <w:pPr>
              <w:spacing w:after="0"/>
              <w:rPr>
                <w:sz w:val="24"/>
                <w:szCs w:val="24"/>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1220" w:type="dxa"/>
            <w:vAlign w:val="bottom"/>
          </w:tcPr>
          <w:p>
            <w:pPr>
              <w:spacing w:after="0"/>
              <w:rPr>
                <w:sz w:val="24"/>
                <w:szCs w:val="24"/>
                <w:color w:val="auto"/>
              </w:rPr>
            </w:pPr>
          </w:p>
        </w:tc>
        <w:tc>
          <w:tcPr>
            <w:tcW w:w="5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John Simard</w:t>
            </w:r>
          </w:p>
        </w:tc>
      </w:tr>
      <w:tr>
        <w:trPr>
          <w:trHeight w:val="189"/>
        </w:trPr>
        <w:tc>
          <w:tcPr>
            <w:tcW w:w="3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4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John Simard</w:t>
            </w:r>
          </w:p>
        </w:tc>
      </w:tr>
      <w:tr>
        <w:trPr>
          <w:trHeight w:val="216"/>
        </w:trPr>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President, Chief Executive Officer and Director (</w:t>
            </w:r>
            <w:r>
              <w:rPr>
                <w:rFonts w:ascii="Times New Roman" w:cs="Times New Roman" w:eastAsia="Times New Roman" w:hAnsi="Times New Roman"/>
                <w:sz w:val="18"/>
                <w:szCs w:val="18"/>
                <w:i w:val="1"/>
                <w:iCs w:val="1"/>
                <w:color w:val="auto"/>
              </w:rPr>
              <w:t>Principal</w:t>
            </w:r>
          </w:p>
        </w:tc>
      </w:tr>
      <w:tr>
        <w:trPr>
          <w:trHeight w:val="236"/>
        </w:trPr>
        <w:tc>
          <w:tcPr>
            <w:tcW w:w="3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w:t>
            </w:r>
          </w:p>
        </w:tc>
      </w:tr>
      <w:tr>
        <w:trPr>
          <w:trHeight w:val="86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2016</w:t>
            </w: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1220" w:type="dxa"/>
            <w:vAlign w:val="bottom"/>
          </w:tcPr>
          <w:p>
            <w:pPr>
              <w:spacing w:after="0"/>
              <w:rPr>
                <w:sz w:val="24"/>
                <w:szCs w:val="24"/>
                <w:color w:val="auto"/>
              </w:rPr>
            </w:pPr>
          </w:p>
        </w:tc>
        <w:tc>
          <w:tcPr>
            <w:tcW w:w="5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Queena Han</w:t>
            </w:r>
          </w:p>
        </w:tc>
      </w:tr>
      <w:tr>
        <w:trPr>
          <w:trHeight w:val="191"/>
        </w:trPr>
        <w:tc>
          <w:tcPr>
            <w:tcW w:w="3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4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Queena Han</w:t>
            </w:r>
          </w:p>
        </w:tc>
      </w:tr>
      <w:tr>
        <w:trPr>
          <w:trHeight w:val="214"/>
        </w:trPr>
        <w:tc>
          <w:tcPr>
            <w:tcW w:w="3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Vice President, Finance and Human Resources, and Secretary</w:t>
            </w:r>
          </w:p>
        </w:tc>
      </w:tr>
      <w:tr>
        <w:trPr>
          <w:trHeight w:val="236"/>
        </w:trPr>
        <w:tc>
          <w:tcPr>
            <w:tcW w:w="3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XBiotech Inc.;</w:t>
      </w:r>
    </w:p>
    <w:p>
      <w:pPr>
        <w:spacing w:after="0" w:line="225" w:lineRule="exact"/>
        <w:rPr>
          <w:rFonts w:ascii="Times New Roman" w:cs="Times New Roman" w:eastAsia="Times New Roman" w:hAnsi="Times New Roman"/>
          <w:sz w:val="18"/>
          <w:szCs w:val="18"/>
          <w:color w:val="auto"/>
        </w:rPr>
      </w:pPr>
    </w:p>
    <w:p>
      <w:pPr>
        <w:ind w:right="760" w:firstLine="8"/>
        <w:spacing w:after="0" w:line="261"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under which such statements were made, not misleading with respect to the period covered by this report;</w:t>
      </w:r>
    </w:p>
    <w:p>
      <w:pPr>
        <w:spacing w:after="0" w:line="206"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080" w:hanging="286"/>
        <w:spacing w:after="0" w:line="26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1080" w:hanging="296"/>
        <w:spacing w:after="0" w:line="26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1080" w:right="20" w:hanging="286"/>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1080" w:hanging="296"/>
        <w:spacing w:after="0" w:line="266"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right="6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80" w:hanging="286"/>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080" w:right="20" w:hanging="296"/>
        <w:spacing w:after="0" w:line="282"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2016</w:t>
      </w:r>
    </w:p>
    <w:p>
      <w:pPr>
        <w:spacing w:after="0" w:line="22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u w:val="single" w:color="auto"/>
          <w:color w:val="auto"/>
        </w:rPr>
        <w:t>/S/ John Simard</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XBiotech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080" w:hanging="286"/>
        <w:spacing w:after="0" w:line="266"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1080" w:hanging="296"/>
        <w:spacing w:after="0" w:line="266"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1080" w:right="20" w:hanging="286"/>
        <w:spacing w:after="0" w:line="282"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1080" w:hanging="296"/>
        <w:spacing w:after="0" w:line="266"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right="6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80" w:hanging="286"/>
        <w:spacing w:after="0" w:line="282"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080" w:right="20" w:hanging="296"/>
        <w:spacing w:after="0" w:line="282" w:lineRule="auto"/>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2016</w:t>
      </w:r>
    </w:p>
    <w:p>
      <w:pPr>
        <w:spacing w:after="0" w:line="2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u w:val="single" w:color="auto"/>
          <w:color w:val="auto"/>
        </w:rPr>
        <w:t>/S/ Queena Han</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Queena Han</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7"/>
          <w:szCs w:val="17"/>
          <w:color w:val="auto"/>
        </w:rPr>
        <w:t>Vice President, Finance and Human Resources and Secretary</w:t>
      </w:r>
    </w:p>
    <w:p>
      <w:pPr>
        <w:spacing w:after="0" w:line="2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29" w:name="page30"/>
    <w:bookmarkEnd w:id="29"/>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AND PRINCIPAL FINANCIAL OFFICER PURSUANT TO 18 U.S.C. SECTION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XBiotech Inc. on Form 10-Q for the three months and nine months ended September 30, 2016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76" w:lineRule="exact"/>
        <w:rPr>
          <w:sz w:val="20"/>
          <w:szCs w:val="20"/>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XBiotech Inc.</w:t>
      </w:r>
    </w:p>
    <w:p>
      <w:pPr>
        <w:spacing w:after="0" w:line="2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/S/ JOHN SIMARD</w:t>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Date: November 14, 2016</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XBiotech Inc. on Form 10-Q for the three months and nine months ended September 30, 2016,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76" w:lineRule="exact"/>
        <w:rPr>
          <w:sz w:val="20"/>
          <w:szCs w:val="20"/>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XBiotech Inc.</w:t>
      </w:r>
    </w:p>
    <w:p>
      <w:pPr>
        <w:spacing w:after="0" w:line="2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/S/ QUEENA HAN</w:t>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Queena Han</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Vice President, Finance and</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Human Resources and Secretary</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Date: November 14, 2016</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2019-12-29T09:22:25Z</dcterms:created>
  <dcterms:modified xsi:type="dcterms:W3CDTF">2019-12-29T09:22:25Z</dcterms:modified>
</cp:coreProperties>
</file>