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84" w:lineRule="exact"/>
        <w:rPr>
          <w:sz w:val="24"/>
          <w:szCs w:val="24"/>
          <w:color w:val="auto"/>
        </w:rPr>
      </w:pPr>
    </w:p>
    <w:p>
      <w:pPr>
        <w:ind w:left="3980" w:right="3960" w:hanging="3972"/>
        <w:spacing w:after="0" w:line="563" w:lineRule="auto"/>
        <w:tabs>
          <w:tab w:leader="none" w:pos="595"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June 30, 2019</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4320" w:right="4020" w:hanging="4312"/>
        <w:spacing w:after="0" w:line="547" w:lineRule="auto"/>
        <w:tabs>
          <w:tab w:leader="none" w:pos="592"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 Commission File Number 001-37437</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XBIOTECH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420"/>
          </w:cols>
          <w:pgMar w:left="240" w:top="693" w:right="23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British Columbia, Canada</w:t>
      </w:r>
    </w:p>
    <w:p>
      <w:pPr>
        <w:spacing w:after="0" w:line="27" w:lineRule="exact"/>
        <w:rPr>
          <w:sz w:val="24"/>
          <w:szCs w:val="24"/>
          <w:color w:val="auto"/>
        </w:rPr>
      </w:pPr>
    </w:p>
    <w:p>
      <w:pPr>
        <w:jc w:val="center"/>
        <w:ind w:right="86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__</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2">
            <w:col w:w="6600" w:space="720"/>
            <w:col w:w="4100"/>
          </w:cols>
          <w:pgMar w:left="240" w:top="693" w:right="2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5217 Winnebago Ln, Austin, TX 78744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Number (512) 386-2900</w:t>
      </w:r>
    </w:p>
    <w:p>
      <w:pPr>
        <w:spacing w:after="0" w:line="27"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11" w:lineRule="exact"/>
        <w:rPr>
          <w:sz w:val="24"/>
          <w:szCs w:val="24"/>
          <w:color w:val="auto"/>
        </w:rPr>
      </w:pPr>
    </w:p>
    <w:p>
      <w:pPr>
        <w:ind w:left="364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 w:lineRule="exact"/>
        <w:rPr>
          <w:sz w:val="24"/>
          <w:szCs w:val="24"/>
          <w:color w:val="auto"/>
        </w:rPr>
      </w:pPr>
    </w:p>
    <w:tbl>
      <w:tblPr>
        <w:tblLayout w:type="fixed"/>
        <w:tblInd w:w="10" w:type="dxa"/>
        <w:tblCellMar>
          <w:top w:w="0" w:type="dxa"/>
          <w:left w:w="0" w:type="dxa"/>
          <w:bottom w:w="0" w:type="dxa"/>
          <w:right w:w="0" w:type="dxa"/>
        </w:tblCellMar>
      </w:tblPr>
      <w:tr>
        <w:trPr>
          <w:trHeight w:val="210"/>
        </w:trPr>
        <w:tc>
          <w:tcPr>
            <w:tcW w:w="41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4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8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10"/>
        </w:trPr>
        <w:tc>
          <w:tcPr>
            <w:tcW w:w="4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no par value</w:t>
            </w: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XBIT</w:t>
            </w:r>
          </w:p>
        </w:tc>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202" w:lineRule="exact"/>
        <w:rPr>
          <w:sz w:val="24"/>
          <w:szCs w:val="24"/>
          <w:color w:val="auto"/>
        </w:rPr>
      </w:pPr>
    </w:p>
    <w:p>
      <w:pPr>
        <w:ind w:right="48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tabs>
          <w:tab w:leader="none" w:pos="720" w:val="left"/>
          <w:tab w:leader="none" w:pos="12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No</w:t>
      </w:r>
      <w:r>
        <w:rPr>
          <w:sz w:val="20"/>
          <w:szCs w:val="20"/>
          <w:color w:val="auto"/>
        </w:rPr>
        <w:tab/>
      </w:r>
      <w:r>
        <w:rPr>
          <w:rFonts w:ascii="MS PGothic" w:cs="MS PGothic" w:eastAsia="MS PGothic" w:hAnsi="MS PGothic"/>
          <w:sz w:val="16"/>
          <w:szCs w:val="16"/>
          <w:color w:val="auto"/>
        </w:rPr>
        <w:t>☐</w:t>
      </w:r>
    </w:p>
    <w:p>
      <w:pPr>
        <w:spacing w:after="0" w:line="216" w:lineRule="exact"/>
        <w:rPr>
          <w:sz w:val="24"/>
          <w:szCs w:val="24"/>
          <w:color w:val="auto"/>
        </w:rPr>
      </w:pPr>
    </w:p>
    <w:p>
      <w:pPr>
        <w:ind w:right="5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3" w:right="239" w:bottom="1440" w:gutter="0" w:footer="0" w:header="0"/>
          <w:type w:val="continuous"/>
        </w:sectPr>
      </w:pPr>
    </w:p>
    <w:bookmarkStart w:id="1" w:name="page2"/>
    <w:bookmarkEnd w:id="1"/>
    <w:p>
      <w:pPr>
        <w:ind w:right="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2600"/>
              <w:spacing w:after="0"/>
              <w:rPr>
                <w:sz w:val="20"/>
                <w:szCs w:val="20"/>
                <w:color w:val="auto"/>
              </w:rPr>
            </w:pPr>
            <w:r>
              <w:rPr>
                <w:rFonts w:ascii="Arial" w:cs="Arial" w:eastAsia="Arial" w:hAnsi="Arial"/>
                <w:sz w:val="18"/>
                <w:szCs w:val="18"/>
                <w:color w:val="auto"/>
              </w:rPr>
              <w:t>Accelerated filer</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Non-accelerated filer</w:t>
            </w:r>
          </w:p>
        </w:tc>
        <w:tc>
          <w:tcPr>
            <w:tcW w:w="31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2600"/>
              <w:spacing w:after="0"/>
              <w:rPr>
                <w:sz w:val="20"/>
                <w:szCs w:val="20"/>
                <w:color w:val="auto"/>
              </w:rPr>
            </w:pPr>
            <w:r>
              <w:rPr>
                <w:rFonts w:ascii="Arial" w:cs="Arial" w:eastAsia="Arial" w:hAnsi="Arial"/>
                <w:sz w:val="18"/>
                <w:szCs w:val="18"/>
                <w:color w:val="auto"/>
              </w:rPr>
              <w:t>Smaller reporting company</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5320" w:type="dxa"/>
            <w:vAlign w:val="bottom"/>
          </w:tcPr>
          <w:p>
            <w:pPr>
              <w:ind w:left="2600"/>
              <w:spacing w:after="0"/>
              <w:rPr>
                <w:sz w:val="20"/>
                <w:szCs w:val="20"/>
                <w:color w:val="auto"/>
              </w:rPr>
            </w:pPr>
            <w:r>
              <w:rPr>
                <w:rFonts w:ascii="Arial" w:cs="Arial" w:eastAsia="Arial" w:hAnsi="Arial"/>
                <w:sz w:val="18"/>
                <w:szCs w:val="18"/>
                <w:color w:val="auto"/>
              </w:rPr>
              <w:t>Emerging growth company•</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0"/>
          <w:szCs w:val="20"/>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line="207" w:lineRule="exact"/>
        <w:tabs>
          <w:tab w:leader="none" w:pos="8320" w:val="left"/>
          <w:tab w:leader="none" w:pos="90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As of August 9th, 2019, there were 41,011,485 shares of the Registrant's common stock issued and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280"/>
          </w:cols>
          <w:pgMar w:left="240" w:top="908" w:right="379" w:bottom="1440" w:gutter="0" w:footer="0" w:header="0"/>
        </w:sectPr>
      </w:pPr>
    </w:p>
    <w:bookmarkStart w:id="2" w:name="page3"/>
    <w:bookmarkEnd w:id="2"/>
    <w:p>
      <w:pPr>
        <w:jc w:val="center"/>
        <w:ind w:left="900"/>
        <w:spacing w:after="0"/>
        <w:rPr>
          <w:sz w:val="20"/>
          <w:szCs w:val="20"/>
          <w:color w:val="auto"/>
        </w:rPr>
      </w:pPr>
      <w:r>
        <w:rPr>
          <w:rFonts w:ascii="Arial" w:cs="Arial" w:eastAsia="Arial" w:hAnsi="Arial"/>
          <w:sz w:val="18"/>
          <w:szCs w:val="18"/>
          <w:b w:val="1"/>
          <w:bCs w:val="1"/>
          <w:color w:val="auto"/>
        </w:rPr>
        <w:t>XBIOTECH INC.</w:t>
      </w:r>
    </w:p>
    <w:p>
      <w:pPr>
        <w:spacing w:after="0" w:line="27" w:lineRule="exact"/>
        <w:rPr>
          <w:sz w:val="20"/>
          <w:szCs w:val="20"/>
          <w:color w:val="auto"/>
        </w:rPr>
      </w:pPr>
    </w:p>
    <w:p>
      <w:pPr>
        <w:jc w:val="center"/>
        <w:ind w:left="900"/>
        <w:spacing w:after="0"/>
        <w:rPr>
          <w:sz w:val="20"/>
          <w:szCs w:val="20"/>
          <w:color w:val="auto"/>
        </w:rPr>
      </w:pPr>
      <w:r>
        <w:rPr>
          <w:rFonts w:ascii="Arial" w:cs="Arial" w:eastAsia="Arial" w:hAnsi="Arial"/>
          <w:sz w:val="18"/>
          <w:szCs w:val="18"/>
          <w:b w:val="1"/>
          <w:bCs w:val="1"/>
          <w:color w:val="auto"/>
        </w:rPr>
        <w:t>THREE MONTHS AND SIX MONTHS ENDED JUNE 30, 2019</w:t>
      </w:r>
    </w:p>
    <w:p>
      <w:pPr>
        <w:spacing w:after="0" w:line="9" w:lineRule="exact"/>
        <w:rPr>
          <w:sz w:val="20"/>
          <w:szCs w:val="20"/>
          <w:color w:val="auto"/>
        </w:rPr>
      </w:pPr>
    </w:p>
    <w:p>
      <w:pPr>
        <w:jc w:val="center"/>
        <w:ind w:left="900"/>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23" w:lineRule="exact"/>
        <w:rPr>
          <w:sz w:val="20"/>
          <w:szCs w:val="20"/>
          <w:color w:val="auto"/>
        </w:rPr>
      </w:pPr>
    </w:p>
    <w:p>
      <w:pPr>
        <w:jc w:val="center"/>
        <w:ind w:left="900"/>
        <w:spacing w:after="0"/>
        <w:rPr>
          <w:sz w:val="20"/>
          <w:szCs w:val="20"/>
          <w:color w:val="auto"/>
        </w:rPr>
      </w:pPr>
      <w:r>
        <w:rPr>
          <w:rFonts w:ascii="Arial" w:cs="Arial" w:eastAsia="Arial" w:hAnsi="Arial"/>
          <w:sz w:val="18"/>
          <w:szCs w:val="18"/>
          <w:b w:val="1"/>
          <w:bCs w:val="1"/>
          <w:u w:val="single" w:color="auto"/>
          <w:color w:val="auto"/>
        </w:rPr>
        <w:t>PART I—FINANCIAL INFORMATION</w:t>
      </w:r>
    </w:p>
    <w:p>
      <w:pPr>
        <w:spacing w:after="0" w:line="2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6"/>
          <w:szCs w:val="16"/>
          <w:color w:val="auto"/>
        </w:rPr>
        <w:t>Consolidated Financial Statements</w:t>
      </w:r>
    </w:p>
    <w:p>
      <w:pPr>
        <w:spacing w:after="0" w:line="9" w:lineRule="exact"/>
        <w:rPr>
          <w:sz w:val="20"/>
          <w:szCs w:val="20"/>
          <w:color w:val="auto"/>
        </w:rPr>
      </w:pPr>
    </w:p>
    <w:p>
      <w:pPr>
        <w:ind w:left="138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Consolidated Balance Sheets as of June 30, 2019 (unaudited) and December 31, 2018</w:t>
        </w:r>
      </w:hyperlink>
    </w:p>
    <w:p>
      <w:pPr>
        <w:spacing w:after="0" w:line="9" w:lineRule="exact"/>
        <w:rPr>
          <w:sz w:val="20"/>
          <w:szCs w:val="20"/>
          <w:color w:val="auto"/>
        </w:rPr>
      </w:pPr>
    </w:p>
    <w:p>
      <w:pPr>
        <w:ind w:left="1380" w:right="420"/>
        <w:spacing w:after="0" w:line="250" w:lineRule="auto"/>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Consolidated Statements of Operations for the Three Months and Six Months Ended June 30, 2019 (unaudited) and 2018</w:t>
        </w:r>
      </w:hyperlink>
      <w:r>
        <w:rPr>
          <w:rFonts w:ascii="Arial" w:cs="Arial" w:eastAsia="Arial" w:hAnsi="Arial"/>
          <w:sz w:val="18"/>
          <w:szCs w:val="18"/>
          <w:u w:val="single" w:color="auto"/>
          <w:color w:val="0000EE"/>
        </w:rPr>
        <w:t xml:space="preserve"> </w:t>
      </w:r>
      <w:hyperlink w:anchor="page7">
        <w:r>
          <w:rPr>
            <w:rFonts w:ascii="Arial" w:cs="Arial" w:eastAsia="Arial" w:hAnsi="Arial"/>
            <w:sz w:val="18"/>
            <w:szCs w:val="18"/>
            <w:u w:val="single" w:color="auto"/>
            <w:color w:val="0000EE"/>
          </w:rPr>
          <w:t>(unaudited)</w:t>
        </w:r>
      </w:hyperlink>
    </w:p>
    <w:p>
      <w:pPr>
        <w:spacing w:after="0" w:line="1" w:lineRule="exact"/>
        <w:rPr>
          <w:sz w:val="20"/>
          <w:szCs w:val="20"/>
          <w:color w:val="auto"/>
        </w:rPr>
      </w:pPr>
    </w:p>
    <w:p>
      <w:pPr>
        <w:ind w:left="1380" w:right="100"/>
        <w:spacing w:after="0" w:line="250" w:lineRule="auto"/>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Consolidated Statements of Comprehensive Loss for the Three Months and Six Months Ended June 30, 2019 (unaudited) and</w:t>
        </w:r>
      </w:hyperlink>
      <w:r>
        <w:rPr>
          <w:rFonts w:ascii="Arial" w:cs="Arial" w:eastAsia="Arial" w:hAnsi="Arial"/>
          <w:sz w:val="18"/>
          <w:szCs w:val="18"/>
          <w:u w:val="single" w:color="auto"/>
          <w:color w:val="0000EE"/>
        </w:rPr>
        <w:t xml:space="preserve"> </w:t>
      </w:r>
      <w:hyperlink w:anchor="page8">
        <w:r>
          <w:rPr>
            <w:rFonts w:ascii="Arial" w:cs="Arial" w:eastAsia="Arial" w:hAnsi="Arial"/>
            <w:sz w:val="18"/>
            <w:szCs w:val="18"/>
            <w:u w:val="single" w:color="auto"/>
            <w:color w:val="0000EE"/>
          </w:rPr>
          <w:t>2018 (unaudited)</w:t>
        </w:r>
      </w:hyperlink>
    </w:p>
    <w:p>
      <w:pPr>
        <w:spacing w:after="0" w:line="1" w:lineRule="exact"/>
        <w:rPr>
          <w:sz w:val="20"/>
          <w:szCs w:val="20"/>
          <w:color w:val="auto"/>
        </w:rPr>
      </w:pPr>
    </w:p>
    <w:p>
      <w:pPr>
        <w:ind w:left="1380" w:right="160"/>
        <w:spacing w:after="0" w:line="250" w:lineRule="auto"/>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Consolidated Statements of Changes in Shareholders’ Equity for theThree Months and Six Months Ended June 30, 2019 and</w:t>
        </w:r>
      </w:hyperlink>
      <w:r>
        <w:rPr>
          <w:rFonts w:ascii="Arial" w:cs="Arial" w:eastAsia="Arial" w:hAnsi="Arial"/>
          <w:sz w:val="18"/>
          <w:szCs w:val="18"/>
          <w:u w:val="single" w:color="auto"/>
          <w:color w:val="0000EE"/>
        </w:rPr>
        <w:t xml:space="preserve"> </w:t>
      </w:r>
      <w:hyperlink w:anchor="page9">
        <w:r>
          <w:rPr>
            <w:rFonts w:ascii="Arial" w:cs="Arial" w:eastAsia="Arial" w:hAnsi="Arial"/>
            <w:sz w:val="18"/>
            <w:szCs w:val="18"/>
            <w:u w:val="single" w:color="auto"/>
            <w:color w:val="0000EE"/>
          </w:rPr>
          <w:t>2018 (unaudited)</w:t>
        </w:r>
      </w:hyperlink>
    </w:p>
    <w:p>
      <w:pPr>
        <w:spacing w:after="0" w:line="1" w:lineRule="exact"/>
        <w:rPr>
          <w:sz w:val="20"/>
          <w:szCs w:val="20"/>
          <w:color w:val="auto"/>
        </w:rPr>
      </w:pPr>
    </w:p>
    <w:p>
      <w:pPr>
        <w:ind w:left="1380"/>
        <w:spacing w:after="0"/>
        <w:rPr>
          <w:rFonts w:ascii="Arial" w:cs="Arial" w:eastAsia="Arial" w:hAnsi="Arial"/>
          <w:sz w:val="17"/>
          <w:szCs w:val="17"/>
          <w:u w:val="single" w:color="auto"/>
          <w:color w:val="0000EE"/>
        </w:rPr>
      </w:pPr>
      <w:hyperlink w:anchor="page11">
        <w:r>
          <w:rPr>
            <w:rFonts w:ascii="Arial" w:cs="Arial" w:eastAsia="Arial" w:hAnsi="Arial"/>
            <w:sz w:val="17"/>
            <w:szCs w:val="17"/>
            <w:u w:val="single" w:color="auto"/>
            <w:color w:val="0000EE"/>
          </w:rPr>
          <w:t>Consolidated Statements of Cash Flows for the Six Months Ended June 30, 2019 (unaudited) and 2018 (unaudited)</w:t>
        </w:r>
      </w:hyperlink>
    </w:p>
    <w:p>
      <w:pPr>
        <w:spacing w:after="0" w:line="21" w:lineRule="exact"/>
        <w:rPr>
          <w:sz w:val="20"/>
          <w:szCs w:val="20"/>
          <w:color w:val="auto"/>
        </w:rPr>
      </w:pPr>
    </w:p>
    <w:p>
      <w:pPr>
        <w:ind w:left="138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Notes to Consolidated Financial Statements (unaudited)</w:t>
        </w:r>
      </w:hyperlink>
    </w:p>
    <w:p>
      <w:pPr>
        <w:spacing w:after="0" w:line="9" w:lineRule="exact"/>
        <w:rPr>
          <w:sz w:val="20"/>
          <w:szCs w:val="20"/>
          <w:color w:val="auto"/>
        </w:rPr>
      </w:pPr>
    </w:p>
    <w:p>
      <w:pPr>
        <w:spacing w:after="0"/>
        <w:tabs>
          <w:tab w:leader="none" w:pos="1360" w:val="left"/>
        </w:tabs>
        <w:rPr>
          <w:rFonts w:ascii="Arial" w:cs="Arial" w:eastAsia="Arial" w:hAnsi="Arial"/>
          <w:sz w:val="16"/>
          <w:szCs w:val="16"/>
          <w:u w:val="single" w:color="auto"/>
          <w:color w:val="0000EE"/>
        </w:rPr>
      </w:pPr>
      <w:hyperlink w:anchor="page18">
        <w:r>
          <w:rPr>
            <w:rFonts w:ascii="Arial" w:cs="Arial" w:eastAsia="Arial" w:hAnsi="Arial"/>
            <w:sz w:val="18"/>
            <w:szCs w:val="18"/>
            <w:u w:val="single" w:color="auto"/>
            <w:color w:val="0000EE"/>
          </w:rPr>
          <w:t>Item 2.</w:t>
        </w:r>
      </w:hyperlink>
      <w:r>
        <w:rPr>
          <w:rFonts w:ascii="Arial" w:cs="Arial" w:eastAsia="Arial" w:hAnsi="Arial"/>
          <w:sz w:val="18"/>
          <w:szCs w:val="18"/>
          <w:u w:val="single" w:color="auto"/>
          <w:color w:val="0000EE"/>
        </w:rPr>
        <w:tab/>
      </w:r>
      <w:hyperlink w:anchor="page18">
        <w:r>
          <w:rPr>
            <w:rFonts w:ascii="Arial" w:cs="Arial" w:eastAsia="Arial" w:hAnsi="Arial"/>
            <w:sz w:val="16"/>
            <w:szCs w:val="16"/>
            <w:u w:val="single" w:color="auto"/>
            <w:color w:val="0000EE"/>
          </w:rPr>
          <w:t>Management’s Discussion and Analysis of Financial Condition and Results of Operations</w:t>
        </w:r>
      </w:hyperlink>
    </w:p>
    <w:p>
      <w:pPr>
        <w:spacing w:after="0" w:line="9" w:lineRule="exact"/>
        <w:rPr>
          <w:sz w:val="20"/>
          <w:szCs w:val="20"/>
          <w:color w:val="auto"/>
        </w:rPr>
      </w:pPr>
    </w:p>
    <w:p>
      <w:pPr>
        <w:spacing w:after="0"/>
        <w:tabs>
          <w:tab w:leader="none" w:pos="1360" w:val="left"/>
        </w:tabs>
        <w:rPr>
          <w:rFonts w:ascii="Arial" w:cs="Arial" w:eastAsia="Arial" w:hAnsi="Arial"/>
          <w:sz w:val="16"/>
          <w:szCs w:val="16"/>
          <w:u w:val="single" w:color="auto"/>
          <w:color w:val="0000EE"/>
        </w:rPr>
      </w:pPr>
      <w:hyperlink w:anchor="page23">
        <w:r>
          <w:rPr>
            <w:rFonts w:ascii="Arial" w:cs="Arial" w:eastAsia="Arial" w:hAnsi="Arial"/>
            <w:sz w:val="18"/>
            <w:szCs w:val="18"/>
            <w:u w:val="single" w:color="auto"/>
            <w:color w:val="0000EE"/>
          </w:rPr>
          <w:t>Item 3.</w:t>
        </w:r>
      </w:hyperlink>
      <w:r>
        <w:rPr>
          <w:rFonts w:ascii="Arial" w:cs="Arial" w:eastAsia="Arial" w:hAnsi="Arial"/>
          <w:sz w:val="18"/>
          <w:szCs w:val="18"/>
          <w:u w:val="single" w:color="auto"/>
          <w:color w:val="0000EE"/>
        </w:rPr>
        <w:tab/>
      </w:r>
      <w:hyperlink w:anchor="page23">
        <w:r>
          <w:rPr>
            <w:rFonts w:ascii="Arial" w:cs="Arial" w:eastAsia="Arial" w:hAnsi="Arial"/>
            <w:sz w:val="16"/>
            <w:szCs w:val="16"/>
            <w:u w:val="single" w:color="auto"/>
            <w:color w:val="0000EE"/>
          </w:rPr>
          <w:t>Quantitative and Qualitative Disclosures About Market Risk</w:t>
        </w:r>
      </w:hyperlink>
    </w:p>
    <w:p>
      <w:pPr>
        <w:spacing w:after="0" w:line="9" w:lineRule="exact"/>
        <w:rPr>
          <w:sz w:val="20"/>
          <w:szCs w:val="20"/>
          <w:color w:val="auto"/>
        </w:rPr>
      </w:pPr>
    </w:p>
    <w:p>
      <w:pPr>
        <w:spacing w:after="0"/>
        <w:tabs>
          <w:tab w:leader="none" w:pos="1360" w:val="left"/>
        </w:tabs>
        <w:rPr>
          <w:rFonts w:ascii="Arial" w:cs="Arial" w:eastAsia="Arial" w:hAnsi="Arial"/>
          <w:sz w:val="16"/>
          <w:szCs w:val="16"/>
          <w:u w:val="single" w:color="auto"/>
          <w:color w:val="0000EE"/>
        </w:rPr>
      </w:pPr>
      <w:hyperlink w:anchor="page23">
        <w:r>
          <w:rPr>
            <w:rFonts w:ascii="Arial" w:cs="Arial" w:eastAsia="Arial" w:hAnsi="Arial"/>
            <w:sz w:val="18"/>
            <w:szCs w:val="18"/>
            <w:u w:val="single" w:color="auto"/>
            <w:color w:val="0000EE"/>
          </w:rPr>
          <w:t>Item 4.</w:t>
        </w:r>
      </w:hyperlink>
      <w:r>
        <w:rPr>
          <w:rFonts w:ascii="Arial" w:cs="Arial" w:eastAsia="Arial" w:hAnsi="Arial"/>
          <w:sz w:val="18"/>
          <w:szCs w:val="18"/>
          <w:u w:val="single" w:color="auto"/>
          <w:color w:val="0000EE"/>
        </w:rPr>
        <w:tab/>
      </w:r>
      <w:hyperlink w:anchor="page23">
        <w:r>
          <w:rPr>
            <w:rFonts w:ascii="Arial" w:cs="Arial" w:eastAsia="Arial" w:hAnsi="Arial"/>
            <w:sz w:val="16"/>
            <w:szCs w:val="16"/>
            <w:u w:val="single" w:color="auto"/>
            <w:color w:val="0000EE"/>
          </w:rPr>
          <w:t>Controls and Procedures</w:t>
        </w:r>
      </w:hyperlink>
    </w:p>
    <w:p>
      <w:pPr>
        <w:spacing w:after="0" w:line="9" w:lineRule="exact"/>
        <w:rPr>
          <w:sz w:val="20"/>
          <w:szCs w:val="20"/>
          <w:color w:val="auto"/>
        </w:rPr>
      </w:pPr>
    </w:p>
    <w:p>
      <w:pPr>
        <w:jc w:val="center"/>
        <w:ind w:left="900"/>
        <w:spacing w:after="0"/>
        <w:rPr>
          <w:sz w:val="20"/>
          <w:szCs w:val="20"/>
          <w:color w:val="auto"/>
        </w:rPr>
      </w:pPr>
      <w:r>
        <w:rPr>
          <w:rFonts w:ascii="Arial" w:cs="Arial" w:eastAsia="Arial" w:hAnsi="Arial"/>
          <w:sz w:val="18"/>
          <w:szCs w:val="18"/>
          <w:b w:val="1"/>
          <w:bCs w:val="1"/>
          <w:u w:val="single" w:color="auto"/>
          <w:color w:val="auto"/>
        </w:rPr>
        <w:t>PART II—OTHER INFORMATION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6</w:t>
        </w:r>
      </w:hyperlink>
    </w:p>
    <w:p>
      <w:pPr>
        <w:spacing w:after="0" w:line="117" w:lineRule="exact"/>
        <w:rPr>
          <w:sz w:val="20"/>
          <w:szCs w:val="20"/>
          <w:color w:val="auto"/>
        </w:rPr>
      </w:pPr>
    </w:p>
    <w:p>
      <w:pPr>
        <w:jc w:val="right"/>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7</w:t>
        </w:r>
      </w:hyperlink>
    </w:p>
    <w:p>
      <w:pPr>
        <w:spacing w:after="0" w:line="333" w:lineRule="exact"/>
        <w:rPr>
          <w:sz w:val="20"/>
          <w:szCs w:val="20"/>
          <w:color w:val="auto"/>
        </w:rPr>
      </w:pPr>
    </w:p>
    <w:p>
      <w:pPr>
        <w:jc w:val="right"/>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8</w:t>
        </w:r>
      </w:hyperlink>
    </w:p>
    <w:p>
      <w:pPr>
        <w:spacing w:after="0" w:line="117" w:lineRule="exact"/>
        <w:rPr>
          <w:sz w:val="20"/>
          <w:szCs w:val="20"/>
          <w:color w:val="auto"/>
        </w:rPr>
      </w:pPr>
    </w:p>
    <w:p>
      <w:pPr>
        <w:jc w:val="right"/>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9</w:t>
        </w:r>
      </w:hyperlink>
    </w:p>
    <w:p>
      <w:pPr>
        <w:spacing w:after="0" w:line="117" w:lineRule="exact"/>
        <w:rPr>
          <w:sz w:val="20"/>
          <w:szCs w:val="20"/>
          <w:color w:val="auto"/>
        </w:rPr>
      </w:pPr>
    </w:p>
    <w:p>
      <w:pPr>
        <w:spacing w:after="0"/>
        <w:rPr>
          <w:rFonts w:ascii="Arial" w:cs="Arial" w:eastAsia="Arial" w:hAnsi="Arial"/>
          <w:sz w:val="16"/>
          <w:szCs w:val="16"/>
          <w:u w:val="single" w:color="auto"/>
          <w:color w:val="0000EE"/>
        </w:rPr>
      </w:pPr>
      <w:hyperlink w:anchor="page11">
        <w:r>
          <w:rPr>
            <w:rFonts w:ascii="Arial" w:cs="Arial" w:eastAsia="Arial" w:hAnsi="Arial"/>
            <w:sz w:val="16"/>
            <w:szCs w:val="16"/>
            <w:u w:val="single" w:color="auto"/>
            <w:color w:val="0000EE"/>
          </w:rPr>
          <w:t>11</w:t>
        </w:r>
      </w:hyperlink>
    </w:p>
    <w:p>
      <w:pPr>
        <w:spacing w:after="0" w:line="46" w:lineRule="exact"/>
        <w:rPr>
          <w:sz w:val="20"/>
          <w:szCs w:val="20"/>
          <w:color w:val="auto"/>
        </w:rPr>
      </w:pPr>
    </w:p>
    <w:p>
      <w:pPr>
        <w:spacing w:after="0"/>
        <w:rPr>
          <w:rFonts w:ascii="Arial" w:cs="Arial" w:eastAsia="Arial" w:hAnsi="Arial"/>
          <w:sz w:val="16"/>
          <w:szCs w:val="16"/>
          <w:u w:val="single" w:color="auto"/>
          <w:color w:val="0000EE"/>
        </w:rPr>
      </w:pPr>
      <w:hyperlink w:anchor="page12">
        <w:r>
          <w:rPr>
            <w:rFonts w:ascii="Arial" w:cs="Arial" w:eastAsia="Arial" w:hAnsi="Arial"/>
            <w:sz w:val="16"/>
            <w:szCs w:val="16"/>
            <w:u w:val="single" w:color="auto"/>
            <w:color w:val="0000EE"/>
          </w:rPr>
          <w:t>12</w:t>
        </w:r>
      </w:hyperlink>
    </w:p>
    <w:p>
      <w:pPr>
        <w:spacing w:after="0" w:line="32" w:lineRule="exact"/>
        <w:rPr>
          <w:sz w:val="20"/>
          <w:szCs w:val="20"/>
          <w:color w:val="auto"/>
        </w:rPr>
      </w:pPr>
    </w:p>
    <w:p>
      <w:pPr>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18</w:t>
        </w:r>
      </w:hyperlink>
    </w:p>
    <w:p>
      <w:pPr>
        <w:spacing w:after="0" w:line="32" w:lineRule="exact"/>
        <w:rPr>
          <w:sz w:val="20"/>
          <w:szCs w:val="20"/>
          <w:color w:val="auto"/>
        </w:rPr>
      </w:pPr>
    </w:p>
    <w:p>
      <w:pPr>
        <w:spacing w:after="0"/>
        <w:rPr>
          <w:rFonts w:ascii="Arial" w:cs="Arial" w:eastAsia="Arial" w:hAnsi="Arial"/>
          <w:sz w:val="16"/>
          <w:szCs w:val="16"/>
          <w:u w:val="single" w:color="auto"/>
          <w:color w:val="0000EE"/>
        </w:rPr>
      </w:pPr>
      <w:hyperlink w:anchor="page23">
        <w:r>
          <w:rPr>
            <w:rFonts w:ascii="Arial" w:cs="Arial" w:eastAsia="Arial" w:hAnsi="Arial"/>
            <w:sz w:val="16"/>
            <w:szCs w:val="16"/>
            <w:u w:val="single" w:color="auto"/>
            <w:color w:val="0000EE"/>
          </w:rPr>
          <w:t>23</w:t>
        </w:r>
      </w:hyperlink>
    </w:p>
    <w:p>
      <w:pPr>
        <w:spacing w:after="0" w:line="32" w:lineRule="exact"/>
        <w:rPr>
          <w:sz w:val="20"/>
          <w:szCs w:val="20"/>
          <w:color w:val="auto"/>
        </w:rPr>
      </w:pPr>
    </w:p>
    <w:p>
      <w:pPr>
        <w:spacing w:after="0"/>
        <w:rPr>
          <w:rFonts w:ascii="Arial" w:cs="Arial" w:eastAsia="Arial" w:hAnsi="Arial"/>
          <w:sz w:val="16"/>
          <w:szCs w:val="16"/>
          <w:u w:val="single" w:color="auto"/>
          <w:color w:val="0000EE"/>
        </w:rPr>
      </w:pPr>
      <w:hyperlink w:anchor="page23">
        <w:r>
          <w:rPr>
            <w:rFonts w:ascii="Arial" w:cs="Arial" w:eastAsia="Arial" w:hAnsi="Arial"/>
            <w:sz w:val="16"/>
            <w:szCs w:val="16"/>
            <w:u w:val="single" w:color="auto"/>
            <w:color w:val="0000EE"/>
          </w:rPr>
          <w:t>23</w:t>
        </w:r>
      </w:hyperlink>
    </w:p>
    <w:p>
      <w:pPr>
        <w:spacing w:after="0" w:line="240" w:lineRule="exact"/>
        <w:rPr>
          <w:sz w:val="20"/>
          <w:szCs w:val="20"/>
          <w:color w:val="auto"/>
        </w:rPr>
      </w:pPr>
    </w:p>
    <w:p>
      <w:pPr>
        <w:sectPr>
          <w:pgSz w:w="11900" w:h="16838" w:orient="portrait"/>
          <w:cols w:equalWidth="0" w:num="2">
            <w:col w:w="10520" w:space="720"/>
            <w:col w:w="180"/>
          </w:cols>
          <w:pgMar w:left="240" w:top="904" w:right="239" w:bottom="1440" w:gutter="0" w:footer="0" w:header="0"/>
        </w:sectPr>
      </w:pPr>
    </w:p>
    <w:tbl>
      <w:tblPr>
        <w:tblLayout w:type="fixed"/>
        <w:tblInd w:w="0" w:type="dxa"/>
        <w:tblCellMar>
          <w:top w:w="0" w:type="dxa"/>
          <w:left w:w="0" w:type="dxa"/>
          <w:bottom w:w="0" w:type="dxa"/>
          <w:right w:w="0" w:type="dxa"/>
        </w:tblCellMar>
      </w:tblPr>
      <w:tr>
        <w:trPr>
          <w:trHeight w:val="185"/>
        </w:trPr>
        <w:tc>
          <w:tcPr>
            <w:tcW w:w="520" w:type="dxa"/>
            <w:vAlign w:val="bottom"/>
            <w:tcBorders>
              <w:bottom w:val="single" w:sz="8" w:color="0000EE"/>
            </w:tcBorders>
          </w:tcPr>
          <w:p>
            <w:pPr>
              <w:spacing w:after="0" w:line="185" w:lineRule="exact"/>
              <w:rPr>
                <w:rFonts w:ascii="Arial" w:cs="Arial" w:eastAsia="Arial" w:hAnsi="Arial"/>
                <w:sz w:val="18"/>
                <w:szCs w:val="18"/>
                <w:color w:val="0000EE"/>
                <w:w w:val="90"/>
              </w:rPr>
            </w:pPr>
            <w:hyperlink w:anchor="page24">
              <w:r>
                <w:rPr>
                  <w:rFonts w:ascii="Arial" w:cs="Arial" w:eastAsia="Arial" w:hAnsi="Arial"/>
                  <w:sz w:val="18"/>
                  <w:szCs w:val="18"/>
                  <w:color w:val="0000EE"/>
                  <w:w w:val="90"/>
                </w:rPr>
                <w:t>Item 1.</w:t>
              </w:r>
            </w:hyperlink>
          </w:p>
        </w:tc>
        <w:tc>
          <w:tcPr>
            <w:tcW w:w="860" w:type="dxa"/>
            <w:vAlign w:val="bottom"/>
          </w:tcPr>
          <w:p>
            <w:pPr>
              <w:spacing w:after="0"/>
              <w:rPr>
                <w:sz w:val="16"/>
                <w:szCs w:val="16"/>
                <w:color w:val="auto"/>
              </w:rPr>
            </w:pPr>
          </w:p>
        </w:tc>
        <w:tc>
          <w:tcPr>
            <w:tcW w:w="920" w:type="dxa"/>
            <w:vAlign w:val="bottom"/>
            <w:tcBorders>
              <w:bottom w:val="single" w:sz="8" w:color="0000EE"/>
            </w:tcBorders>
            <w:gridSpan w:val="2"/>
          </w:tcPr>
          <w:p>
            <w:pPr>
              <w:spacing w:after="0" w:line="185"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Risk Factors</w:t>
              </w:r>
            </w:hyperlink>
          </w:p>
        </w:tc>
        <w:tc>
          <w:tcPr>
            <w:tcW w:w="8940" w:type="dxa"/>
            <w:vAlign w:val="bottom"/>
            <w:gridSpan w:val="5"/>
          </w:tcPr>
          <w:p>
            <w:pPr>
              <w:spacing w:after="0"/>
              <w:rPr>
                <w:sz w:val="16"/>
                <w:szCs w:val="16"/>
                <w:color w:val="auto"/>
              </w:rPr>
            </w:pPr>
          </w:p>
        </w:tc>
        <w:tc>
          <w:tcPr>
            <w:tcW w:w="180" w:type="dxa"/>
            <w:vAlign w:val="bottom"/>
            <w:tcBorders>
              <w:bottom w:val="single" w:sz="8" w:color="0000EE"/>
            </w:tcBorders>
          </w:tcPr>
          <w:p>
            <w:pPr>
              <w:jc w:val="right"/>
              <w:spacing w:after="0" w:line="185" w:lineRule="exact"/>
              <w:rPr>
                <w:rFonts w:ascii="Arial" w:cs="Arial" w:eastAsia="Arial" w:hAnsi="Arial"/>
                <w:sz w:val="18"/>
                <w:szCs w:val="18"/>
                <w:color w:val="0000EE"/>
                <w:w w:val="79"/>
              </w:rPr>
            </w:pPr>
            <w:hyperlink w:anchor="page24">
              <w:r>
                <w:rPr>
                  <w:rFonts w:ascii="Arial" w:cs="Arial" w:eastAsia="Arial" w:hAnsi="Arial"/>
                  <w:sz w:val="18"/>
                  <w:szCs w:val="18"/>
                  <w:color w:val="0000EE"/>
                  <w:w w:val="79"/>
                </w:rPr>
                <w:t>24</w:t>
              </w:r>
            </w:hyperlink>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24">
              <w:r>
                <w:rPr>
                  <w:rFonts w:ascii="Arial" w:cs="Arial" w:eastAsia="Arial" w:hAnsi="Arial"/>
                  <w:sz w:val="18"/>
                  <w:szCs w:val="18"/>
                  <w:color w:val="0000EE"/>
                  <w:w w:val="90"/>
                </w:rPr>
                <w:t>Item 2.</w:t>
              </w:r>
            </w:hyperlink>
          </w:p>
        </w:tc>
        <w:tc>
          <w:tcPr>
            <w:tcW w:w="860" w:type="dxa"/>
            <w:vAlign w:val="bottom"/>
          </w:tcPr>
          <w:p>
            <w:pPr>
              <w:spacing w:after="0"/>
              <w:rPr>
                <w:sz w:val="17"/>
                <w:szCs w:val="17"/>
                <w:color w:val="auto"/>
              </w:rPr>
            </w:pPr>
          </w:p>
        </w:tc>
        <w:tc>
          <w:tcPr>
            <w:tcW w:w="436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Unregistered Sales of Equity Securities and Use of Proceeds</w:t>
              </w:r>
            </w:hyperlink>
          </w:p>
        </w:tc>
        <w:tc>
          <w:tcPr>
            <w:tcW w:w="550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24">
              <w:r>
                <w:rPr>
                  <w:rFonts w:ascii="Arial" w:cs="Arial" w:eastAsia="Arial" w:hAnsi="Arial"/>
                  <w:sz w:val="18"/>
                  <w:szCs w:val="18"/>
                  <w:color w:val="0000EE"/>
                  <w:w w:val="79"/>
                </w:rPr>
                <w:t>24</w:t>
              </w:r>
            </w:hyperlink>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24">
              <w:r>
                <w:rPr>
                  <w:rFonts w:ascii="Arial" w:cs="Arial" w:eastAsia="Arial" w:hAnsi="Arial"/>
                  <w:sz w:val="18"/>
                  <w:szCs w:val="18"/>
                  <w:color w:val="0000EE"/>
                  <w:w w:val="90"/>
                </w:rPr>
                <w:t>Item 3.</w:t>
              </w:r>
            </w:hyperlink>
          </w:p>
        </w:tc>
        <w:tc>
          <w:tcPr>
            <w:tcW w:w="860" w:type="dxa"/>
            <w:vAlign w:val="bottom"/>
          </w:tcPr>
          <w:p>
            <w:pPr>
              <w:spacing w:after="0"/>
              <w:rPr>
                <w:sz w:val="17"/>
                <w:szCs w:val="17"/>
                <w:color w:val="auto"/>
              </w:rPr>
            </w:pPr>
          </w:p>
        </w:tc>
        <w:tc>
          <w:tcPr>
            <w:tcW w:w="9860" w:type="dxa"/>
            <w:vAlign w:val="bottom"/>
            <w:gridSpan w:val="7"/>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Defaults Upon Senior Securities</w:t>
              </w:r>
            </w:hyperlink>
          </w:p>
        </w:tc>
        <w:tc>
          <w:tcPr>
            <w:tcW w:w="180" w:type="dxa"/>
            <w:vAlign w:val="bottom"/>
          </w:tcPr>
          <w:p>
            <w:pPr>
              <w:jc w:val="right"/>
              <w:spacing w:after="0" w:line="196" w:lineRule="exact"/>
              <w:rPr>
                <w:rFonts w:ascii="Arial" w:cs="Arial" w:eastAsia="Arial" w:hAnsi="Arial"/>
                <w:sz w:val="18"/>
                <w:szCs w:val="18"/>
                <w:color w:val="0000EE"/>
                <w:w w:val="79"/>
              </w:rPr>
            </w:pPr>
            <w:hyperlink w:anchor="page24">
              <w:r>
                <w:rPr>
                  <w:rFonts w:ascii="Arial" w:cs="Arial" w:eastAsia="Arial" w:hAnsi="Arial"/>
                  <w:sz w:val="18"/>
                  <w:szCs w:val="18"/>
                  <w:color w:val="0000EE"/>
                  <w:w w:val="79"/>
                </w:rPr>
                <w:t>24</w:t>
              </w:r>
            </w:hyperlink>
          </w:p>
        </w:tc>
      </w:tr>
      <w:tr>
        <w:trPr>
          <w:trHeight w:val="196"/>
        </w:trPr>
        <w:tc>
          <w:tcPr>
            <w:tcW w:w="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24">
              <w:r>
                <w:rPr>
                  <w:rFonts w:ascii="Arial" w:cs="Arial" w:eastAsia="Arial" w:hAnsi="Arial"/>
                  <w:sz w:val="18"/>
                  <w:szCs w:val="18"/>
                  <w:color w:val="0000EE"/>
                  <w:w w:val="90"/>
                </w:rPr>
                <w:t>Item 4.</w:t>
              </w:r>
            </w:hyperlink>
          </w:p>
        </w:tc>
        <w:tc>
          <w:tcPr>
            <w:tcW w:w="860" w:type="dxa"/>
            <w:vAlign w:val="bottom"/>
          </w:tcPr>
          <w:p>
            <w:pPr>
              <w:spacing w:after="0"/>
              <w:rPr>
                <w:sz w:val="17"/>
                <w:szCs w:val="17"/>
                <w:color w:val="auto"/>
              </w:rPr>
            </w:pPr>
          </w:p>
        </w:tc>
        <w:tc>
          <w:tcPr>
            <w:tcW w:w="17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w:anchor="page24">
              <w:r>
                <w:rPr>
                  <w:rFonts w:ascii="Arial" w:cs="Arial" w:eastAsia="Arial" w:hAnsi="Arial"/>
                  <w:sz w:val="18"/>
                  <w:szCs w:val="18"/>
                  <w:color w:val="0000EE"/>
                  <w:w w:val="91"/>
                </w:rPr>
                <w:t>Mine Safety Disclosures</w:t>
              </w:r>
            </w:hyperlink>
          </w:p>
        </w:tc>
        <w:tc>
          <w:tcPr>
            <w:tcW w:w="540" w:type="dxa"/>
            <w:vAlign w:val="bottom"/>
            <w:tcBorders>
              <w:top w:val="single" w:sz="8" w:color="0000EE"/>
            </w:tcBorders>
          </w:tcPr>
          <w:p>
            <w:pPr>
              <w:spacing w:after="0"/>
              <w:rPr>
                <w:sz w:val="17"/>
                <w:szCs w:val="17"/>
                <w:color w:val="auto"/>
              </w:rPr>
            </w:pPr>
          </w:p>
        </w:tc>
        <w:tc>
          <w:tcPr>
            <w:tcW w:w="7540" w:type="dxa"/>
            <w:vAlign w:val="bottom"/>
            <w:gridSpan w:val="2"/>
          </w:tcPr>
          <w:p>
            <w:pPr>
              <w:spacing w:after="0"/>
              <w:rPr>
                <w:sz w:val="17"/>
                <w:szCs w:val="17"/>
                <w:color w:val="auto"/>
              </w:rPr>
            </w:pPr>
          </w:p>
        </w:tc>
        <w:tc>
          <w:tcPr>
            <w:tcW w:w="18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79"/>
              </w:rPr>
            </w:pPr>
            <w:hyperlink w:anchor="page24">
              <w:r>
                <w:rPr>
                  <w:rFonts w:ascii="Arial" w:cs="Arial" w:eastAsia="Arial" w:hAnsi="Arial"/>
                  <w:sz w:val="18"/>
                  <w:szCs w:val="18"/>
                  <w:color w:val="0000EE"/>
                  <w:w w:val="79"/>
                </w:rPr>
                <w:t>24</w:t>
              </w:r>
            </w:hyperlink>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24">
              <w:r>
                <w:rPr>
                  <w:rFonts w:ascii="Arial" w:cs="Arial" w:eastAsia="Arial" w:hAnsi="Arial"/>
                  <w:sz w:val="18"/>
                  <w:szCs w:val="18"/>
                  <w:color w:val="0000EE"/>
                  <w:w w:val="90"/>
                </w:rPr>
                <w:t>Item 5.</w:t>
              </w:r>
            </w:hyperlink>
          </w:p>
        </w:tc>
        <w:tc>
          <w:tcPr>
            <w:tcW w:w="860" w:type="dxa"/>
            <w:vAlign w:val="bottom"/>
          </w:tcPr>
          <w:p>
            <w:pPr>
              <w:spacing w:after="0"/>
              <w:rPr>
                <w:sz w:val="17"/>
                <w:szCs w:val="17"/>
                <w:color w:val="auto"/>
              </w:rPr>
            </w:pPr>
          </w:p>
        </w:tc>
        <w:tc>
          <w:tcPr>
            <w:tcW w:w="9860" w:type="dxa"/>
            <w:vAlign w:val="bottom"/>
            <w:gridSpan w:val="7"/>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Other Information</w:t>
              </w:r>
            </w:hyperlink>
          </w:p>
        </w:tc>
        <w:tc>
          <w:tcPr>
            <w:tcW w:w="180" w:type="dxa"/>
            <w:vAlign w:val="bottom"/>
          </w:tcPr>
          <w:p>
            <w:pPr>
              <w:jc w:val="right"/>
              <w:spacing w:after="0" w:line="196" w:lineRule="exact"/>
              <w:rPr>
                <w:rFonts w:ascii="Arial" w:cs="Arial" w:eastAsia="Arial" w:hAnsi="Arial"/>
                <w:sz w:val="18"/>
                <w:szCs w:val="18"/>
                <w:color w:val="0000EE"/>
                <w:w w:val="79"/>
              </w:rPr>
            </w:pPr>
            <w:hyperlink w:anchor="page24">
              <w:r>
                <w:rPr>
                  <w:rFonts w:ascii="Arial" w:cs="Arial" w:eastAsia="Arial" w:hAnsi="Arial"/>
                  <w:sz w:val="18"/>
                  <w:szCs w:val="18"/>
                  <w:color w:val="0000EE"/>
                  <w:w w:val="79"/>
                </w:rPr>
                <w:t>24</w:t>
              </w:r>
            </w:hyperlink>
          </w:p>
        </w:tc>
      </w:tr>
      <w:tr>
        <w:trPr>
          <w:trHeight w:val="196"/>
        </w:trPr>
        <w:tc>
          <w:tcPr>
            <w:tcW w:w="520" w:type="dxa"/>
            <w:vAlign w:val="bottom"/>
            <w:tcBorders>
              <w:top w:val="single" w:sz="8" w:color="0000EE"/>
            </w:tcBorders>
          </w:tcPr>
          <w:p>
            <w:pPr>
              <w:spacing w:after="0" w:line="196" w:lineRule="exact"/>
              <w:rPr>
                <w:rFonts w:ascii="Arial" w:cs="Arial" w:eastAsia="Arial" w:hAnsi="Arial"/>
                <w:sz w:val="18"/>
                <w:szCs w:val="18"/>
                <w:color w:val="0000EE"/>
                <w:w w:val="90"/>
              </w:rPr>
            </w:pPr>
            <w:hyperlink w:anchor="page25">
              <w:r>
                <w:rPr>
                  <w:rFonts w:ascii="Arial" w:cs="Arial" w:eastAsia="Arial" w:hAnsi="Arial"/>
                  <w:sz w:val="18"/>
                  <w:szCs w:val="18"/>
                  <w:color w:val="0000EE"/>
                  <w:w w:val="90"/>
                </w:rPr>
                <w:t>Item 6.</w:t>
              </w:r>
            </w:hyperlink>
          </w:p>
        </w:tc>
        <w:tc>
          <w:tcPr>
            <w:tcW w:w="860" w:type="dxa"/>
            <w:vAlign w:val="bottom"/>
          </w:tcPr>
          <w:p>
            <w:pPr>
              <w:spacing w:after="0"/>
              <w:rPr>
                <w:sz w:val="17"/>
                <w:szCs w:val="17"/>
                <w:color w:val="auto"/>
              </w:rPr>
            </w:pPr>
          </w:p>
        </w:tc>
        <w:tc>
          <w:tcPr>
            <w:tcW w:w="132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Exhibits</w:t>
              </w:r>
            </w:hyperlink>
          </w:p>
        </w:tc>
        <w:tc>
          <w:tcPr>
            <w:tcW w:w="8540" w:type="dxa"/>
            <w:vAlign w:val="bottom"/>
            <w:gridSpan w:val="4"/>
          </w:tcPr>
          <w:p>
            <w:pPr>
              <w:spacing w:after="0"/>
              <w:rPr>
                <w:sz w:val="17"/>
                <w:szCs w:val="17"/>
                <w:color w:val="auto"/>
              </w:rPr>
            </w:pPr>
          </w:p>
        </w:tc>
        <w:tc>
          <w:tcPr>
            <w:tcW w:w="180" w:type="dxa"/>
            <w:vAlign w:val="bottom"/>
            <w:tcBorders>
              <w:top w:val="single" w:sz="8" w:color="0000EE"/>
            </w:tcBorders>
          </w:tcPr>
          <w:p>
            <w:pPr>
              <w:jc w:val="right"/>
              <w:spacing w:after="0" w:line="196" w:lineRule="exact"/>
              <w:rPr>
                <w:rFonts w:ascii="Arial" w:cs="Arial" w:eastAsia="Arial" w:hAnsi="Arial"/>
                <w:sz w:val="18"/>
                <w:szCs w:val="18"/>
                <w:color w:val="0000EE"/>
                <w:w w:val="79"/>
              </w:rPr>
            </w:pPr>
            <w:hyperlink w:anchor="page25">
              <w:r>
                <w:rPr>
                  <w:rFonts w:ascii="Arial" w:cs="Arial" w:eastAsia="Arial" w:hAnsi="Arial"/>
                  <w:sz w:val="18"/>
                  <w:szCs w:val="18"/>
                  <w:color w:val="0000EE"/>
                  <w:w w:val="79"/>
                </w:rPr>
                <w:t>25</w:t>
              </w:r>
            </w:hyperlink>
          </w:p>
        </w:tc>
      </w:tr>
      <w:tr>
        <w:trPr>
          <w:trHeight w:val="20"/>
        </w:trPr>
        <w:tc>
          <w:tcPr>
            <w:tcW w:w="52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bl>
    <w:p>
      <w:pPr>
        <w:spacing w:after="0" w:line="229" w:lineRule="exact"/>
        <w:rPr>
          <w:sz w:val="20"/>
          <w:szCs w:val="20"/>
          <w:color w:val="auto"/>
        </w:rPr>
      </w:pPr>
    </w:p>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SIGNATURES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t>CAUTIONARY STATEMENTS REGARDING FORWARD-LOOKING STATEMENTS</w:t>
      </w:r>
    </w:p>
    <w:p>
      <w:pPr>
        <w:spacing w:after="0" w:line="229" w:lineRule="exact"/>
        <w:rPr>
          <w:sz w:val="20"/>
          <w:szCs w:val="20"/>
          <w:color w:val="auto"/>
        </w:rPr>
      </w:pPr>
    </w:p>
    <w:p>
      <w:pPr>
        <w:ind w:right="120" w:firstLine="551"/>
        <w:spacing w:after="0" w:line="272" w:lineRule="auto"/>
        <w:rPr>
          <w:sz w:val="20"/>
          <w:szCs w:val="20"/>
          <w:color w:val="auto"/>
        </w:rPr>
      </w:pPr>
      <w:r>
        <w:rPr>
          <w:rFonts w:ascii="Arial" w:cs="Arial" w:eastAsia="Arial" w:hAnsi="Arial"/>
          <w:sz w:val="17"/>
          <w:szCs w:val="17"/>
          <w:color w:val="auto"/>
        </w:rPr>
        <w:t>This Quarterly Report on Form 10-Q contains forward-looking statements, which reflect our current views with respect to, among other things, our operations and financial performance. All statements other than statements of historical facts contained in this Quarterly Report on Form 10-Q are forward-looking statements. You can identify forward-looking statements by terminology such as “may,” “will,” “should,” “would,” “could,” “expects,” “plans,” “contemplate,” “anticipates,” “believes,” “estimates,” “predicts,” “projects,” “intend” or “continue” or the negative of such terms or other comparable terminology, although not all forward-looking statements contain these identifying words. Forward-looking statements are subject to inherent risks and uncertainties in predicting future results and conditions that could cause the actual results to differ materially from those projected in these forward-looking statements. These forward-looking statements include, but are not limited to statements about:</w:t>
      </w:r>
    </w:p>
    <w:p>
      <w:pPr>
        <w:spacing w:after="0" w:line="178" w:lineRule="exact"/>
        <w:rPr>
          <w:sz w:val="20"/>
          <w:szCs w:val="20"/>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regulatory approval to market and sell bermekimab in the United States, Europe and elsewhere;</w:t>
      </w:r>
    </w:p>
    <w:p>
      <w:pPr>
        <w:spacing w:after="0" w:line="23" w:lineRule="exact"/>
        <w:rPr>
          <w:rFonts w:ascii="Arial" w:cs="Arial" w:eastAsia="Arial" w:hAnsi="Arial"/>
          <w:sz w:val="18"/>
          <w:szCs w:val="18"/>
          <w:color w:val="auto"/>
        </w:rPr>
      </w:pPr>
    </w:p>
    <w:p>
      <w:pPr>
        <w:ind w:left="880" w:hanging="332"/>
        <w:spacing w:after="0" w:line="250"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timing, cost, progress and success of our research and development programs, preclinical studies and clinical trials for bermekimab and other product candidates;</w:t>
      </w: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advance product candidates into, and successfully complete, clinical trials;</w:t>
      </w:r>
    </w:p>
    <w:p>
      <w:pPr>
        <w:spacing w:after="0" w:line="9"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commercialize the sale of bermekimab in the United States, Europe and elsewhere;</w:t>
      </w:r>
    </w:p>
    <w:p>
      <w:pPr>
        <w:spacing w:after="0" w:line="9"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recruit sufficient numbers of patients for our future clinical trials for our pharmaceutical products;</w:t>
      </w:r>
    </w:p>
    <w:p>
      <w:pPr>
        <w:spacing w:after="0" w:line="9"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profitability;</w:t>
      </w:r>
    </w:p>
    <w:p>
      <w:pPr>
        <w:spacing w:after="0" w:line="9"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funding for our operations, including research funding;</w:t>
      </w:r>
    </w:p>
    <w:p>
      <w:pPr>
        <w:spacing w:after="0" w:line="9"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additional new products using our True Human™ antibody discovery platform;</w:t>
      </w:r>
    </w:p>
    <w:p>
      <w:pPr>
        <w:spacing w:after="0" w:line="9"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w:t>
      </w:r>
    </w:p>
    <w:p>
      <w:pPr>
        <w:spacing w:after="0" w:line="9"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commercialize product candidates for orphan and niche indications independently;</w:t>
      </w:r>
    </w:p>
    <w:p>
      <w:pPr>
        <w:spacing w:after="0" w:line="9"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9"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protect our intellectual property and operate our business without infringing upon the intellectual property rights of others;</w:t>
      </w:r>
    </w:p>
    <w:p>
      <w:pPr>
        <w:spacing w:after="0" w:line="20" w:lineRule="exact"/>
        <w:rPr>
          <w:rFonts w:ascii="Arial" w:cs="Arial" w:eastAsia="Arial" w:hAnsi="Arial"/>
          <w:sz w:val="17"/>
          <w:szCs w:val="17"/>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federal, state and foreign regulatory requirements;</w:t>
      </w:r>
    </w:p>
    <w:p>
      <w:pPr>
        <w:spacing w:after="0" w:line="9"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therapeutic benefits, effectiveness and safety of our product candidates;</w:t>
      </w:r>
    </w:p>
    <w:p>
      <w:pPr>
        <w:spacing w:after="0" w:line="9"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accuracy of our estimates of the size and characteristics of the markets that may be addressed by our products and product candidates;</w:t>
      </w:r>
    </w:p>
    <w:p>
      <w:pPr>
        <w:spacing w:after="0" w:line="32" w:lineRule="exact"/>
        <w:rPr>
          <w:rFonts w:ascii="Arial" w:cs="Arial" w:eastAsia="Arial" w:hAnsi="Arial"/>
          <w:sz w:val="16"/>
          <w:szCs w:val="16"/>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bermekimab and future products, if any;</w:t>
      </w:r>
    </w:p>
    <w:p>
      <w:pPr>
        <w:spacing w:after="0" w:line="9"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and our collaborators’ ability to obtain and maintain regulatory approvals for our product candidates;</w:t>
      </w:r>
    </w:p>
    <w:p>
      <w:pPr>
        <w:spacing w:after="0" w:line="210"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market risk, including interest rate changes and foreign currency fluctuations;</w:t>
      </w:r>
    </w:p>
    <w:p>
      <w:pPr>
        <w:spacing w:after="0" w:line="23"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belief in the sufficiency of our cash flows to meet our needs for at least the next 12 to 24 months;</w:t>
      </w:r>
    </w:p>
    <w:p>
      <w:pPr>
        <w:spacing w:after="0" w:line="9"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timing during which we will be an emerging growth company under the JOBS Act;</w:t>
      </w:r>
    </w:p>
    <w:p>
      <w:pPr>
        <w:spacing w:after="0" w:line="9"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engage and retain the employees required to grow our business;</w:t>
      </w:r>
    </w:p>
    <w:p>
      <w:pPr>
        <w:spacing w:after="0" w:line="9"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financial performance and projected expenditures;</w:t>
      </w:r>
    </w:p>
    <w:p>
      <w:pPr>
        <w:spacing w:after="0" w:line="9"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7"/>
          <w:szCs w:val="17"/>
          <w:color w:val="auto"/>
        </w:rPr>
      </w:pPr>
      <w:r>
        <w:rPr>
          <w:rFonts w:ascii="Arial" w:cs="Arial" w:eastAsia="Arial" w:hAnsi="Arial"/>
          <w:sz w:val="17"/>
          <w:szCs w:val="17"/>
          <w:color w:val="auto"/>
        </w:rPr>
        <w:t>developments relating to our competitors and our industry, including the success of competing therapies that are or become available; and</w:t>
      </w:r>
    </w:p>
    <w:p>
      <w:pPr>
        <w:spacing w:after="0" w:line="20" w:lineRule="exact"/>
        <w:rPr>
          <w:rFonts w:ascii="Arial" w:cs="Arial" w:eastAsia="Arial" w:hAnsi="Arial"/>
          <w:sz w:val="17"/>
          <w:szCs w:val="17"/>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estimates of our expenses, future revenue, capital requirements and our needs for additional financing.</w:t>
      </w:r>
    </w:p>
    <w:p>
      <w:pPr>
        <w:spacing w:after="0" w:line="200" w:lineRule="exact"/>
        <w:rPr>
          <w:sz w:val="20"/>
          <w:szCs w:val="20"/>
          <w:color w:val="auto"/>
        </w:rPr>
      </w:pPr>
    </w:p>
    <w:p>
      <w:pPr>
        <w:spacing w:after="0" w:line="220"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20"/>
          </w:cols>
          <w:pgMar w:left="240" w:top="688" w:right="339" w:bottom="1440" w:gutter="0" w:footer="0" w:header="0"/>
        </w:sectPr>
      </w:pPr>
    </w:p>
    <w:bookmarkStart w:id="4" w:name="page5"/>
    <w:bookmarkEnd w:id="4"/>
    <w:p>
      <w:pPr>
        <w:ind w:firstLine="486"/>
        <w:spacing w:after="0" w:line="271" w:lineRule="auto"/>
        <w:rPr>
          <w:sz w:val="20"/>
          <w:szCs w:val="20"/>
          <w:color w:val="auto"/>
        </w:rPr>
      </w:pPr>
      <w:r>
        <w:rPr>
          <w:rFonts w:ascii="Arial" w:cs="Arial" w:eastAsia="Arial" w:hAnsi="Arial"/>
          <w:sz w:val="17"/>
          <w:szCs w:val="17"/>
          <w:color w:val="auto"/>
        </w:rPr>
        <w:t>All forward looking statements in this Quarterly Report on Form 10-Q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under the heading “Risk Factors” included in our annual report for the year ended December 31, 2018 filed with the SEC on March 14, 2019, as amended by Amendment No. 1 filed with the SEC on March 15, 2019, and elsewhere in this Quarterly Report on Form 10-Q. These factors should not be construed as exhaustive and should be read in conjunction with the other cautionary statements that are included in this Quarterly Report on Form 10-Q.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79" w:lineRule="exact"/>
        <w:rPr>
          <w:sz w:val="20"/>
          <w:szCs w:val="20"/>
          <w:color w:val="auto"/>
        </w:rPr>
      </w:pPr>
    </w:p>
    <w:p>
      <w:pPr>
        <w:ind w:right="60" w:firstLine="486"/>
        <w:spacing w:after="0" w:line="273" w:lineRule="auto"/>
        <w:rPr>
          <w:sz w:val="20"/>
          <w:szCs w:val="20"/>
          <w:color w:val="auto"/>
        </w:rPr>
      </w:pPr>
      <w:r>
        <w:rPr>
          <w:rFonts w:ascii="Arial" w:cs="Arial" w:eastAsia="Arial" w:hAnsi="Arial"/>
          <w:sz w:val="17"/>
          <w:szCs w:val="17"/>
          <w:color w:val="auto"/>
        </w:rPr>
        <w:t>This Quarterly Report on Form 10-Q also contains estimates, projections and other information concerning our industry, our business, and the markets for certain medical conditions,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940" w:type="dxa"/>
            <w:vAlign w:val="bottom"/>
          </w:tcPr>
          <w:p>
            <w:pPr>
              <w:jc w:val="center"/>
              <w:ind w:left="3350"/>
              <w:spacing w:after="0"/>
              <w:rPr>
                <w:sz w:val="20"/>
                <w:szCs w:val="20"/>
                <w:color w:val="auto"/>
              </w:rPr>
            </w:pPr>
            <w:r>
              <w:rPr>
                <w:rFonts w:ascii="Arial" w:cs="Arial" w:eastAsia="Arial" w:hAnsi="Arial"/>
                <w:sz w:val="18"/>
                <w:szCs w:val="18"/>
                <w:b w:val="1"/>
                <w:bCs w:val="1"/>
                <w:color w:val="auto"/>
                <w:w w:val="92"/>
              </w:rPr>
              <w:t>XBiotech Inc.</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7940" w:type="dxa"/>
            <w:vAlign w:val="bottom"/>
          </w:tcPr>
          <w:p>
            <w:pPr>
              <w:jc w:val="center"/>
              <w:ind w:left="3350"/>
              <w:spacing w:after="0"/>
              <w:rPr>
                <w:sz w:val="20"/>
                <w:szCs w:val="20"/>
                <w:color w:val="auto"/>
              </w:rPr>
            </w:pPr>
            <w:r>
              <w:rPr>
                <w:rFonts w:ascii="Arial" w:cs="Arial" w:eastAsia="Arial" w:hAnsi="Arial"/>
                <w:sz w:val="18"/>
                <w:szCs w:val="18"/>
                <w:color w:val="auto"/>
                <w:w w:val="88"/>
              </w:rPr>
              <w:t>Consolidated Balance Sheets</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40" w:type="dxa"/>
            <w:vAlign w:val="bottom"/>
          </w:tcPr>
          <w:p>
            <w:pPr>
              <w:jc w:val="center"/>
              <w:ind w:left="3370"/>
              <w:spacing w:after="0"/>
              <w:rPr>
                <w:sz w:val="20"/>
                <w:szCs w:val="20"/>
                <w:color w:val="auto"/>
              </w:rPr>
            </w:pPr>
            <w:r>
              <w:rPr>
                <w:rFonts w:ascii="Arial" w:cs="Arial" w:eastAsia="Arial" w:hAnsi="Arial"/>
                <w:sz w:val="18"/>
                <w:szCs w:val="18"/>
                <w:color w:val="auto"/>
                <w:w w:val="88"/>
              </w:rPr>
              <w:t>(in thousands, except share data)</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b w:val="1"/>
                <w:bCs w:val="1"/>
                <w:color w:val="auto"/>
              </w:rPr>
              <w:t>June 30, 2019</w:t>
            </w:r>
          </w:p>
        </w:tc>
        <w:tc>
          <w:tcPr>
            <w:tcW w:w="260" w:type="dxa"/>
            <w:vAlign w:val="bottom"/>
          </w:tcPr>
          <w:p>
            <w:pPr>
              <w:spacing w:after="0"/>
              <w:rPr>
                <w:sz w:val="19"/>
                <w:szCs w:val="19"/>
                <w:color w:val="auto"/>
              </w:rPr>
            </w:pPr>
          </w:p>
        </w:tc>
        <w:tc>
          <w:tcPr>
            <w:tcW w:w="14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(unaudited)</w:t>
            </w: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44,921</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15,823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678</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45,599</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17,016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26,276</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27,329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71,875</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44,345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1,550</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Accrued expenses</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912</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2,462</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Long-term liabilities: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liabilities</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2,462</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2,947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no par value, unlimited shares authorized, no shares outstanding</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40" w:type="dxa"/>
            <w:vAlign w:val="bottom"/>
          </w:tcPr>
          <w:p>
            <w:pPr>
              <w:spacing w:after="0" w:line="201" w:lineRule="exact"/>
              <w:rPr>
                <w:sz w:val="20"/>
                <w:szCs w:val="20"/>
                <w:color w:val="auto"/>
              </w:rPr>
            </w:pPr>
            <w:r>
              <w:rPr>
                <w:rFonts w:ascii="Arial" w:cs="Arial" w:eastAsia="Arial" w:hAnsi="Arial"/>
                <w:sz w:val="18"/>
                <w:szCs w:val="18"/>
                <w:color w:val="auto"/>
                <w:w w:val="91"/>
              </w:rPr>
              <w:t>Common stock, no par value, unlimited shares authorized, 41,003,660 and 35,899,772 shares outstanding at</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June 30, 2019 and December 31, 2018, respectively</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319,045</w:t>
            </w:r>
          </w:p>
        </w:tc>
        <w:tc>
          <w:tcPr>
            <w:tcW w:w="26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279,353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Accumulated deficit</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(249,416)</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(237,700)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69,413</w:t>
            </w: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41,398</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79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71,875</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44,345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tcBorders>
              <w:top w:val="single" w:sz="8" w:color="CCEEFF"/>
              <w:bottom w:val="single" w:sz="8" w:color="CCEEFF"/>
            </w:tcBorders>
            <w:vMerge w:val="restart"/>
          </w:tcPr>
          <w:p>
            <w:pPr>
              <w:ind w:left="640"/>
              <w:spacing w:after="0"/>
              <w:rPr>
                <w:sz w:val="20"/>
                <w:szCs w:val="20"/>
                <w:color w:val="auto"/>
              </w:rPr>
            </w:pPr>
            <w:r>
              <w:rPr>
                <w:rFonts w:ascii="Arial" w:cs="Arial" w:eastAsia="Arial" w:hAnsi="Arial"/>
                <w:sz w:val="18"/>
                <w:szCs w:val="18"/>
                <w:i w:val="1"/>
                <w:iCs w:val="1"/>
                <w:color w:val="auto"/>
              </w:rPr>
              <w:t>See accompanying notes.</w:t>
            </w: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79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28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XBiotech Inc.</w:t>
            </w: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840" w:type="dxa"/>
            <w:vAlign w:val="bottom"/>
            <w:gridSpan w:val="3"/>
          </w:tcPr>
          <w:p>
            <w:pPr>
              <w:jc w:val="center"/>
              <w:spacing w:after="0"/>
              <w:rPr>
                <w:sz w:val="20"/>
                <w:szCs w:val="20"/>
                <w:color w:val="auto"/>
              </w:rPr>
            </w:pPr>
            <w:r>
              <w:rPr>
                <w:rFonts w:ascii="Arial" w:cs="Arial" w:eastAsia="Arial" w:hAnsi="Arial"/>
                <w:sz w:val="18"/>
                <w:szCs w:val="18"/>
                <w:color w:val="auto"/>
                <w:w w:val="89"/>
              </w:rPr>
              <w:t>Consolidated Statements of Operations</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20" w:type="dxa"/>
            <w:vAlign w:val="bottom"/>
            <w:gridSpan w:val="6"/>
          </w:tcPr>
          <w:p>
            <w:pPr>
              <w:jc w:val="center"/>
              <w:ind w:left="2790"/>
              <w:spacing w:after="0"/>
              <w:rPr>
                <w:sz w:val="20"/>
                <w:szCs w:val="20"/>
                <w:color w:val="auto"/>
              </w:rPr>
            </w:pPr>
            <w:r>
              <w:rPr>
                <w:rFonts w:ascii="Arial" w:cs="Arial" w:eastAsia="Arial" w:hAnsi="Arial"/>
                <w:sz w:val="18"/>
                <w:szCs w:val="18"/>
                <w:color w:val="auto"/>
                <w:w w:val="87"/>
              </w:rPr>
              <w:t>(in thousands, except share and per share data)</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60" w:type="dxa"/>
            <w:vAlign w:val="bottom"/>
            <w:gridSpan w:val="3"/>
          </w:tcPr>
          <w:p>
            <w:pPr>
              <w:jc w:val="right"/>
              <w:ind w:right="230"/>
              <w:spacing w:after="0"/>
              <w:rPr>
                <w:sz w:val="20"/>
                <w:szCs w:val="20"/>
                <w:color w:val="auto"/>
              </w:rPr>
            </w:pPr>
            <w:r>
              <w:rPr>
                <w:rFonts w:ascii="Arial" w:cs="Arial" w:eastAsia="Arial" w:hAnsi="Arial"/>
                <w:sz w:val="18"/>
                <w:szCs w:val="18"/>
                <w:b w:val="1"/>
                <w:bCs w:val="1"/>
                <w:color w:val="auto"/>
                <w:w w:val="94"/>
              </w:rPr>
              <w:t>Three Months Ended June 30,</w:t>
            </w:r>
          </w:p>
        </w:tc>
        <w:tc>
          <w:tcPr>
            <w:tcW w:w="220" w:type="dxa"/>
            <w:vAlign w:val="bottom"/>
          </w:tcPr>
          <w:p>
            <w:pPr>
              <w:spacing w:after="0"/>
              <w:rPr>
                <w:sz w:val="24"/>
                <w:szCs w:val="24"/>
                <w:color w:val="auto"/>
              </w:rPr>
            </w:pPr>
          </w:p>
        </w:tc>
        <w:tc>
          <w:tcPr>
            <w:tcW w:w="2660" w:type="dxa"/>
            <w:vAlign w:val="bottom"/>
            <w:gridSpan w:val="3"/>
          </w:tcPr>
          <w:p>
            <w:pPr>
              <w:jc w:val="right"/>
              <w:ind w:right="270"/>
              <w:spacing w:after="0"/>
              <w:rPr>
                <w:sz w:val="20"/>
                <w:szCs w:val="20"/>
                <w:color w:val="auto"/>
              </w:rPr>
            </w:pPr>
            <w:r>
              <w:rPr>
                <w:rFonts w:ascii="Arial" w:cs="Arial" w:eastAsia="Arial" w:hAnsi="Arial"/>
                <w:sz w:val="18"/>
                <w:szCs w:val="18"/>
                <w:b w:val="1"/>
                <w:bCs w:val="1"/>
                <w:color w:val="auto"/>
                <w:w w:val="97"/>
              </w:rPr>
              <w:t>Six Months Ended June 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19"/>
                <w:szCs w:val="19"/>
                <w:color w:val="auto"/>
              </w:rPr>
            </w:pPr>
          </w:p>
        </w:tc>
        <w:tc>
          <w:tcPr>
            <w:tcW w:w="12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12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60" w:type="dxa"/>
            <w:vAlign w:val="bottom"/>
            <w:tcBorders>
              <w:bottom w:val="single" w:sz="8" w:color="CCEEFF"/>
            </w:tcBorders>
          </w:tcPr>
          <w:p>
            <w:pPr>
              <w:spacing w:after="0"/>
              <w:rPr>
                <w:sz w:val="20"/>
                <w:szCs w:val="20"/>
                <w:color w:val="auto"/>
              </w:rPr>
            </w:pPr>
          </w:p>
        </w:tc>
        <w:tc>
          <w:tcPr>
            <w:tcW w:w="13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7"/>
              </w:rPr>
              <w:t>(unaudited)</w:t>
            </w: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7"/>
              </w:rPr>
              <w:t>(unaudited)</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7"/>
              </w:rPr>
              <w:t>(unaudited)</w:t>
            </w: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7"/>
              </w:rPr>
              <w:t>(unaudited)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15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4,693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3,949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9,220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6,941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13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1,313</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1,672</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2,591</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13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6,006</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5,621</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11,811</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9,770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(6,006)</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(5,621)</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(11,811)</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Other income (loss):</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18"/>
                <w:szCs w:val="18"/>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129</w:t>
            </w:r>
          </w:p>
        </w:tc>
        <w:tc>
          <w:tcPr>
            <w:tcW w:w="22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income</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Foreign exchange gain (loss)</w:t>
            </w:r>
          </w:p>
        </w:tc>
        <w:tc>
          <w:tcPr>
            <w:tcW w:w="13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102</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(loss)</w:t>
            </w:r>
          </w:p>
        </w:tc>
        <w:tc>
          <w:tcPr>
            <w:tcW w:w="13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154</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95</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90"/>
        </w:trPr>
        <w:tc>
          <w:tcPr>
            <w:tcW w:w="42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5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(5,852)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(5,907)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(11,716)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(9,976)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loss per share—basic and diluted</w:t>
            </w:r>
          </w:p>
        </w:tc>
        <w:tc>
          <w:tcPr>
            <w:tcW w:w="1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(0.16)</w:t>
            </w: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(0.16)</w:t>
            </w:r>
          </w:p>
        </w:tc>
        <w:tc>
          <w:tcPr>
            <w:tcW w:w="2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(0.32)</w:t>
            </w:r>
          </w:p>
        </w:tc>
        <w:tc>
          <w:tcPr>
            <w:tcW w:w="2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Arial" w:cs="Arial" w:eastAsia="Arial" w:hAnsi="Arial"/>
                <w:sz w:val="18"/>
                <w:szCs w:val="18"/>
                <w:color w:val="auto"/>
                <w:w w:val="87"/>
              </w:rPr>
              <w:t>Shares used to compute basic and diluted net loss per share</w:t>
            </w: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37,519,697</w:t>
            </w:r>
          </w:p>
        </w:tc>
        <w:tc>
          <w:tcPr>
            <w:tcW w:w="160" w:type="dxa"/>
            <w:vAlign w:val="bottom"/>
          </w:tcPr>
          <w:p>
            <w:pPr>
              <w:spacing w:after="0"/>
              <w:rPr>
                <w:sz w:val="20"/>
                <w:szCs w:val="20"/>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35,819,772</w:t>
            </w:r>
          </w:p>
        </w:tc>
        <w:tc>
          <w:tcPr>
            <w:tcW w:w="220" w:type="dxa"/>
            <w:vAlign w:val="bottom"/>
          </w:tcPr>
          <w:p>
            <w:pPr>
              <w:spacing w:after="0"/>
              <w:rPr>
                <w:sz w:val="20"/>
                <w:szCs w:val="20"/>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36,752,820</w:t>
            </w:r>
          </w:p>
        </w:tc>
        <w:tc>
          <w:tcPr>
            <w:tcW w:w="22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35,783,738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3620" w:type="dxa"/>
            <w:vAlign w:val="bottom"/>
            <w:gridSpan w:val="3"/>
          </w:tcPr>
          <w:p>
            <w:pPr>
              <w:jc w:val="center"/>
              <w:ind w:left="870"/>
              <w:spacing w:after="0"/>
              <w:rPr>
                <w:sz w:val="20"/>
                <w:szCs w:val="20"/>
                <w:color w:val="auto"/>
              </w:rPr>
            </w:pPr>
            <w:r>
              <w:rPr>
                <w:rFonts w:ascii="Arial" w:cs="Arial" w:eastAsia="Arial" w:hAnsi="Arial"/>
                <w:sz w:val="18"/>
                <w:szCs w:val="18"/>
                <w:b w:val="1"/>
                <w:bCs w:val="1"/>
                <w:color w:val="auto"/>
                <w:w w:val="92"/>
              </w:rPr>
              <w:t>XBiotech Inc.</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5120" w:type="dxa"/>
            <w:vAlign w:val="bottom"/>
            <w:gridSpan w:val="5"/>
          </w:tcPr>
          <w:p>
            <w:pPr>
              <w:jc w:val="center"/>
              <w:ind w:right="450"/>
              <w:spacing w:after="0"/>
              <w:rPr>
                <w:sz w:val="20"/>
                <w:szCs w:val="20"/>
                <w:color w:val="auto"/>
              </w:rPr>
            </w:pPr>
            <w:r>
              <w:rPr>
                <w:rFonts w:ascii="Arial" w:cs="Arial" w:eastAsia="Arial" w:hAnsi="Arial"/>
                <w:sz w:val="18"/>
                <w:szCs w:val="18"/>
                <w:color w:val="auto"/>
                <w:w w:val="89"/>
              </w:rPr>
              <w:t>Consolidated Statements of Comprehensive Loss</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3620" w:type="dxa"/>
            <w:vAlign w:val="bottom"/>
            <w:gridSpan w:val="3"/>
          </w:tcPr>
          <w:p>
            <w:pPr>
              <w:jc w:val="center"/>
              <w:ind w:left="870"/>
              <w:spacing w:after="0"/>
              <w:rPr>
                <w:sz w:val="20"/>
                <w:szCs w:val="20"/>
                <w:color w:val="auto"/>
              </w:rPr>
            </w:pPr>
            <w:r>
              <w:rPr>
                <w:rFonts w:ascii="Arial" w:cs="Arial" w:eastAsia="Arial" w:hAnsi="Arial"/>
                <w:sz w:val="18"/>
                <w:szCs w:val="18"/>
                <w:color w:val="auto"/>
                <w:w w:val="89"/>
              </w:rPr>
              <w:t>(in thousands)</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60" w:type="dxa"/>
            <w:vAlign w:val="bottom"/>
            <w:gridSpan w:val="3"/>
          </w:tcPr>
          <w:p>
            <w:pPr>
              <w:jc w:val="right"/>
              <w:ind w:right="230"/>
              <w:spacing w:after="0"/>
              <w:rPr>
                <w:sz w:val="20"/>
                <w:szCs w:val="20"/>
                <w:color w:val="auto"/>
              </w:rPr>
            </w:pPr>
            <w:r>
              <w:rPr>
                <w:rFonts w:ascii="Arial" w:cs="Arial" w:eastAsia="Arial" w:hAnsi="Arial"/>
                <w:sz w:val="18"/>
                <w:szCs w:val="18"/>
                <w:b w:val="1"/>
                <w:bCs w:val="1"/>
                <w:color w:val="auto"/>
                <w:w w:val="94"/>
              </w:rPr>
              <w:t>Three Months Ended June 30,</w:t>
            </w:r>
          </w:p>
        </w:tc>
        <w:tc>
          <w:tcPr>
            <w:tcW w:w="220" w:type="dxa"/>
            <w:vAlign w:val="bottom"/>
          </w:tcPr>
          <w:p>
            <w:pPr>
              <w:spacing w:after="0"/>
              <w:rPr>
                <w:sz w:val="24"/>
                <w:szCs w:val="24"/>
                <w:color w:val="auto"/>
              </w:rPr>
            </w:pPr>
          </w:p>
        </w:tc>
        <w:tc>
          <w:tcPr>
            <w:tcW w:w="2660" w:type="dxa"/>
            <w:vAlign w:val="bottom"/>
            <w:gridSpan w:val="3"/>
          </w:tcPr>
          <w:p>
            <w:pPr>
              <w:jc w:val="right"/>
              <w:ind w:right="270"/>
              <w:spacing w:after="0"/>
              <w:rPr>
                <w:sz w:val="20"/>
                <w:szCs w:val="20"/>
                <w:color w:val="auto"/>
              </w:rPr>
            </w:pPr>
            <w:r>
              <w:rPr>
                <w:rFonts w:ascii="Arial" w:cs="Arial" w:eastAsia="Arial" w:hAnsi="Arial"/>
                <w:sz w:val="18"/>
                <w:szCs w:val="18"/>
                <w:b w:val="1"/>
                <w:bCs w:val="1"/>
                <w:color w:val="auto"/>
                <w:w w:val="97"/>
              </w:rPr>
              <w:t>Six Months Ended June 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19"/>
                <w:szCs w:val="19"/>
                <w:color w:val="auto"/>
              </w:rPr>
            </w:pPr>
          </w:p>
        </w:tc>
        <w:tc>
          <w:tcPr>
            <w:tcW w:w="12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12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7"/>
              </w:rPr>
              <w:t>(unaudited)</w:t>
            </w: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7"/>
              </w:rPr>
              <w:t>(unaudited)</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7"/>
              </w:rPr>
              <w:t>(unaudited)</w:t>
            </w: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7"/>
              </w:rPr>
              <w:t>(unaudited)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(5,852)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Foreign currency translation adjustment</w:t>
            </w:r>
          </w:p>
        </w:tc>
        <w:tc>
          <w:tcPr>
            <w:tcW w:w="22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(99)</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381</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39</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2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(5,951)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XBiotech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Changes in Shareholders' Equity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Accumulated</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4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Other</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41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22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Common</w:t>
            </w:r>
          </w:p>
        </w:tc>
        <w:tc>
          <w:tcPr>
            <w:tcW w:w="200" w:type="dxa"/>
            <w:vAlign w:val="bottom"/>
          </w:tcPr>
          <w:p>
            <w:pPr>
              <w:spacing w:after="0"/>
              <w:rPr>
                <w:sz w:val="18"/>
                <w:szCs w:val="18"/>
                <w:color w:val="auto"/>
              </w:rPr>
            </w:pPr>
          </w:p>
        </w:tc>
        <w:tc>
          <w:tcPr>
            <w:tcW w:w="136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Comprehensive</w:t>
            </w:r>
          </w:p>
        </w:tc>
        <w:tc>
          <w:tcPr>
            <w:tcW w:w="20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Accumulated</w:t>
            </w: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412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Shares</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Stock Amount</w:t>
            </w: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8"/>
              </w:rPr>
              <w:t>Income (Loss)</w:t>
            </w: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0"/>
              </w:rPr>
              <w:t>Deficit</w:t>
            </w: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23"/>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2019</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36,090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280,664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(243,564)</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36,983</w:t>
            </w:r>
          </w:p>
        </w:tc>
      </w:tr>
      <w:tr>
        <w:trPr>
          <w:trHeight w:val="210"/>
        </w:trPr>
        <w:tc>
          <w:tcPr>
            <w:tcW w:w="4120" w:type="dxa"/>
            <w:vAlign w:val="bottom"/>
          </w:tcPr>
          <w:p>
            <w:pPr>
              <w:spacing w:after="0"/>
              <w:rPr>
                <w:sz w:val="20"/>
                <w:szCs w:val="20"/>
                <w:color w:val="auto"/>
              </w:rPr>
            </w:pPr>
            <w:r>
              <w:rPr>
                <w:rFonts w:ascii="Arial" w:cs="Arial" w:eastAsia="Arial" w:hAnsi="Arial"/>
                <w:sz w:val="18"/>
                <w:szCs w:val="18"/>
                <w:color w:val="auto"/>
              </w:rPr>
              <w:t>Net loss</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(5,852)</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(5,852)</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02"/>
        </w:trPr>
        <w:tc>
          <w:tcPr>
            <w:tcW w:w="4120" w:type="dxa"/>
            <w:vAlign w:val="bottom"/>
          </w:tcPr>
          <w:p>
            <w:pPr>
              <w:spacing w:after="0" w:line="201" w:lineRule="exact"/>
              <w:rPr>
                <w:sz w:val="20"/>
                <w:szCs w:val="20"/>
                <w:color w:val="auto"/>
              </w:rPr>
            </w:pPr>
            <w:r>
              <w:rPr>
                <w:rFonts w:ascii="Arial" w:cs="Arial" w:eastAsia="Arial" w:hAnsi="Arial"/>
                <w:sz w:val="18"/>
                <w:szCs w:val="18"/>
                <w:color w:val="auto"/>
                <w:w w:val="98"/>
              </w:rPr>
              <w:t>Issuance of common stock offering, net of issurance</w:t>
            </w: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cost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4,848</w:t>
            </w:r>
          </w:p>
        </w:tc>
        <w:tc>
          <w:tcPr>
            <w:tcW w:w="22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37,497</w:t>
            </w:r>
          </w:p>
        </w:tc>
        <w:tc>
          <w:tcPr>
            <w:tcW w:w="200" w:type="dxa"/>
            <w:vAlign w:val="bottom"/>
          </w:tcPr>
          <w:p>
            <w:pPr>
              <w:spacing w:after="0"/>
              <w:rPr>
                <w:sz w:val="20"/>
                <w:szCs w:val="20"/>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37,497</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under stock option plan</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296</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296</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Collection of stock subscription receivable</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18"/>
                <w:szCs w:val="18"/>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102</w:t>
            </w:r>
          </w:p>
        </w:tc>
      </w:tr>
      <w:tr>
        <w:trPr>
          <w:trHeight w:val="23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486</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486</w:t>
            </w:r>
          </w:p>
        </w:tc>
      </w:tr>
      <w:tr>
        <w:trPr>
          <w:trHeight w:val="250"/>
        </w:trPr>
        <w:tc>
          <w:tcPr>
            <w:tcW w:w="4120" w:type="dxa"/>
            <w:vAlign w:val="bottom"/>
          </w:tcPr>
          <w:p>
            <w:pPr>
              <w:spacing w:after="0"/>
              <w:rPr>
                <w:sz w:val="20"/>
                <w:szCs w:val="20"/>
                <w:color w:val="auto"/>
              </w:rPr>
            </w:pPr>
            <w:r>
              <w:rPr>
                <w:rFonts w:ascii="Arial" w:cs="Arial" w:eastAsia="Arial" w:hAnsi="Arial"/>
                <w:sz w:val="18"/>
                <w:szCs w:val="18"/>
                <w:color w:val="auto"/>
              </w:rPr>
              <w:t>Balance at June 30, 2019</w:t>
            </w: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41,003</w:t>
            </w: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319,045</w:t>
            </w: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(249,416)</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69,413</w:t>
            </w:r>
          </w:p>
        </w:tc>
      </w:tr>
      <w:tr>
        <w:trPr>
          <w:trHeight w:val="20"/>
        </w:trPr>
        <w:tc>
          <w:tcPr>
            <w:tcW w:w="4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664"/>
        </w:trPr>
        <w:tc>
          <w:tcPr>
            <w:tcW w:w="4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Accumulated</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6"/>
        </w:trPr>
        <w:tc>
          <w:tcPr>
            <w:tcW w:w="4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Other</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41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22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Common</w:t>
            </w:r>
          </w:p>
        </w:tc>
        <w:tc>
          <w:tcPr>
            <w:tcW w:w="200" w:type="dxa"/>
            <w:vAlign w:val="bottom"/>
          </w:tcPr>
          <w:p>
            <w:pPr>
              <w:spacing w:after="0"/>
              <w:rPr>
                <w:sz w:val="18"/>
                <w:szCs w:val="18"/>
                <w:color w:val="auto"/>
              </w:rPr>
            </w:pPr>
          </w:p>
        </w:tc>
        <w:tc>
          <w:tcPr>
            <w:tcW w:w="136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Comprehensive</w:t>
            </w:r>
          </w:p>
        </w:tc>
        <w:tc>
          <w:tcPr>
            <w:tcW w:w="20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Accumulated</w:t>
            </w: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412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Shares</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Stock Amount</w:t>
            </w: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8"/>
              </w:rPr>
              <w:t>Income (Loss)</w:t>
            </w: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0"/>
              </w:rPr>
              <w:t>Deficit</w:t>
            </w: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23"/>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2018</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35,520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277,803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(220,631)</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56,410</w:t>
            </w:r>
          </w:p>
        </w:tc>
      </w:tr>
      <w:tr>
        <w:trPr>
          <w:trHeight w:val="210"/>
        </w:trPr>
        <w:tc>
          <w:tcPr>
            <w:tcW w:w="4120" w:type="dxa"/>
            <w:vAlign w:val="bottom"/>
          </w:tcPr>
          <w:p>
            <w:pPr>
              <w:spacing w:after="0"/>
              <w:rPr>
                <w:sz w:val="20"/>
                <w:szCs w:val="20"/>
                <w:color w:val="auto"/>
              </w:rPr>
            </w:pPr>
            <w:r>
              <w:rPr>
                <w:rFonts w:ascii="Arial" w:cs="Arial" w:eastAsia="Arial" w:hAnsi="Arial"/>
                <w:sz w:val="18"/>
                <w:szCs w:val="18"/>
                <w:color w:val="auto"/>
              </w:rPr>
              <w:t>Net loss</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(5,907)</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(5,907)</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381</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381</w:t>
            </w:r>
          </w:p>
        </w:tc>
      </w:tr>
      <w:tr>
        <w:trPr>
          <w:trHeight w:val="230"/>
        </w:trPr>
        <w:tc>
          <w:tcPr>
            <w:tcW w:w="4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Share-based compensation expense</w:t>
            </w: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638</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638</w:t>
            </w:r>
          </w:p>
        </w:tc>
      </w:tr>
      <w:tr>
        <w:trPr>
          <w:trHeight w:val="250"/>
        </w:trPr>
        <w:tc>
          <w:tcPr>
            <w:tcW w:w="4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2018</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35,520</w:t>
            </w:r>
          </w:p>
        </w:tc>
        <w:tc>
          <w:tcPr>
            <w:tcW w:w="2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278,441</w:t>
            </w:r>
          </w:p>
        </w:tc>
        <w:tc>
          <w:tcPr>
            <w:tcW w:w="2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2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(226,538)</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51,522</w:t>
            </w:r>
          </w:p>
        </w:tc>
      </w:tr>
      <w:tr>
        <w:trPr>
          <w:trHeight w:val="20"/>
        </w:trPr>
        <w:tc>
          <w:tcPr>
            <w:tcW w:w="4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Accumulated</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4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Other</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41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22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Common</w:t>
            </w:r>
          </w:p>
        </w:tc>
        <w:tc>
          <w:tcPr>
            <w:tcW w:w="200" w:type="dxa"/>
            <w:vAlign w:val="bottom"/>
          </w:tcPr>
          <w:p>
            <w:pPr>
              <w:spacing w:after="0"/>
              <w:rPr>
                <w:sz w:val="18"/>
                <w:szCs w:val="18"/>
                <w:color w:val="auto"/>
              </w:rPr>
            </w:pPr>
          </w:p>
        </w:tc>
        <w:tc>
          <w:tcPr>
            <w:tcW w:w="136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Comprehensive</w:t>
            </w:r>
          </w:p>
        </w:tc>
        <w:tc>
          <w:tcPr>
            <w:tcW w:w="20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Accumulated</w:t>
            </w: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412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Shares</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Stock Amount</w:t>
            </w: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8"/>
              </w:rPr>
              <w:t>Income (Loss)</w:t>
            </w: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0"/>
              </w:rPr>
              <w:t>Deficit</w:t>
            </w: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23"/>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35,900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279,353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(237,700)</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41,398</w:t>
            </w:r>
          </w:p>
        </w:tc>
      </w:tr>
      <w:tr>
        <w:trPr>
          <w:trHeight w:val="210"/>
        </w:trPr>
        <w:tc>
          <w:tcPr>
            <w:tcW w:w="4120" w:type="dxa"/>
            <w:vAlign w:val="bottom"/>
          </w:tcPr>
          <w:p>
            <w:pPr>
              <w:spacing w:after="0"/>
              <w:rPr>
                <w:sz w:val="20"/>
                <w:szCs w:val="20"/>
                <w:color w:val="auto"/>
              </w:rPr>
            </w:pPr>
            <w:r>
              <w:rPr>
                <w:rFonts w:ascii="Arial" w:cs="Arial" w:eastAsia="Arial" w:hAnsi="Arial"/>
                <w:sz w:val="18"/>
                <w:szCs w:val="18"/>
                <w:color w:val="auto"/>
              </w:rPr>
              <w:t>Net loss</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(11,716)</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(11,716)</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39</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r>
      <w:tr>
        <w:trPr>
          <w:trHeight w:val="202"/>
        </w:trPr>
        <w:tc>
          <w:tcPr>
            <w:tcW w:w="4120" w:type="dxa"/>
            <w:vAlign w:val="bottom"/>
          </w:tcPr>
          <w:p>
            <w:pPr>
              <w:spacing w:after="0" w:line="201" w:lineRule="exact"/>
              <w:rPr>
                <w:sz w:val="20"/>
                <w:szCs w:val="20"/>
                <w:color w:val="auto"/>
              </w:rPr>
            </w:pPr>
            <w:r>
              <w:rPr>
                <w:rFonts w:ascii="Arial" w:cs="Arial" w:eastAsia="Arial" w:hAnsi="Arial"/>
                <w:sz w:val="18"/>
                <w:szCs w:val="18"/>
                <w:color w:val="auto"/>
                <w:w w:val="98"/>
              </w:rPr>
              <w:t>Issuance of common stock offering, net of issurance</w:t>
            </w: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cost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4,848</w:t>
            </w:r>
          </w:p>
        </w:tc>
        <w:tc>
          <w:tcPr>
            <w:tcW w:w="22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37,497</w:t>
            </w:r>
          </w:p>
        </w:tc>
        <w:tc>
          <w:tcPr>
            <w:tcW w:w="200" w:type="dxa"/>
            <w:vAlign w:val="bottom"/>
          </w:tcPr>
          <w:p>
            <w:pPr>
              <w:spacing w:after="0"/>
              <w:rPr>
                <w:sz w:val="20"/>
                <w:szCs w:val="20"/>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37,497</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under stock option plan</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255</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837</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837</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Collection of stock subscription receivable</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302</w:t>
            </w:r>
          </w:p>
        </w:tc>
        <w:tc>
          <w:tcPr>
            <w:tcW w:w="200" w:type="dxa"/>
            <w:vAlign w:val="bottom"/>
          </w:tcPr>
          <w:p>
            <w:pPr>
              <w:spacing w:after="0"/>
              <w:rPr>
                <w:sz w:val="18"/>
                <w:szCs w:val="18"/>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302</w:t>
            </w:r>
          </w:p>
        </w:tc>
      </w:tr>
      <w:tr>
        <w:trPr>
          <w:trHeight w:val="23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1,056</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1,056</w:t>
            </w:r>
          </w:p>
        </w:tc>
      </w:tr>
      <w:tr>
        <w:trPr>
          <w:trHeight w:val="250"/>
        </w:trPr>
        <w:tc>
          <w:tcPr>
            <w:tcW w:w="4120" w:type="dxa"/>
            <w:vAlign w:val="bottom"/>
          </w:tcPr>
          <w:p>
            <w:pPr>
              <w:spacing w:after="0"/>
              <w:rPr>
                <w:sz w:val="20"/>
                <w:szCs w:val="20"/>
                <w:color w:val="auto"/>
              </w:rPr>
            </w:pPr>
            <w:r>
              <w:rPr>
                <w:rFonts w:ascii="Arial" w:cs="Arial" w:eastAsia="Arial" w:hAnsi="Arial"/>
                <w:sz w:val="18"/>
                <w:szCs w:val="18"/>
                <w:color w:val="auto"/>
              </w:rPr>
              <w:t>Balance at June 30, 2019</w:t>
            </w: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41,003</w:t>
            </w: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319,045</w:t>
            </w: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(249,416)</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69,413</w:t>
            </w:r>
          </w:p>
        </w:tc>
      </w:tr>
      <w:tr>
        <w:trPr>
          <w:trHeight w:val="20"/>
        </w:trPr>
        <w:tc>
          <w:tcPr>
            <w:tcW w:w="4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610"/>
        </w:trPr>
        <w:tc>
          <w:tcPr>
            <w:tcW w:w="4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Accumulated</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6"/>
        </w:trPr>
        <w:tc>
          <w:tcPr>
            <w:tcW w:w="4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Other</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41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22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Common</w:t>
            </w:r>
          </w:p>
        </w:tc>
        <w:tc>
          <w:tcPr>
            <w:tcW w:w="200" w:type="dxa"/>
            <w:vAlign w:val="bottom"/>
          </w:tcPr>
          <w:p>
            <w:pPr>
              <w:spacing w:after="0"/>
              <w:rPr>
                <w:sz w:val="18"/>
                <w:szCs w:val="18"/>
                <w:color w:val="auto"/>
              </w:rPr>
            </w:pPr>
          </w:p>
        </w:tc>
        <w:tc>
          <w:tcPr>
            <w:tcW w:w="136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Comprehensive</w:t>
            </w:r>
          </w:p>
        </w:tc>
        <w:tc>
          <w:tcPr>
            <w:tcW w:w="20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Accumulated</w:t>
            </w: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412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Shares</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Stock Amount</w:t>
            </w: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8"/>
              </w:rPr>
              <w:t>Income (Loss)</w:t>
            </w: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0"/>
              </w:rPr>
              <w:t>Deficit</w:t>
            </w: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23"/>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35,439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277,492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(216,562)</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60,162</w:t>
            </w:r>
          </w:p>
        </w:tc>
      </w:tr>
      <w:tr>
        <w:trPr>
          <w:trHeight w:val="210"/>
        </w:trPr>
        <w:tc>
          <w:tcPr>
            <w:tcW w:w="4120" w:type="dxa"/>
            <w:vAlign w:val="bottom"/>
          </w:tcPr>
          <w:p>
            <w:pPr>
              <w:spacing w:after="0"/>
              <w:rPr>
                <w:sz w:val="20"/>
                <w:szCs w:val="20"/>
                <w:color w:val="auto"/>
              </w:rPr>
            </w:pPr>
            <w:r>
              <w:rPr>
                <w:rFonts w:ascii="Arial" w:cs="Arial" w:eastAsia="Arial" w:hAnsi="Arial"/>
                <w:sz w:val="18"/>
                <w:szCs w:val="18"/>
                <w:color w:val="auto"/>
              </w:rPr>
              <w:t>Net loss</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(9,976)</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(9,976)</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387</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387</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Issuance of common stock under stock option plan</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201</w:t>
            </w:r>
          </w:p>
        </w:tc>
        <w:tc>
          <w:tcPr>
            <w:tcW w:w="200" w:type="dxa"/>
            <w:vAlign w:val="bottom"/>
          </w:tcPr>
          <w:p>
            <w:pPr>
              <w:spacing w:after="0"/>
              <w:rPr>
                <w:sz w:val="18"/>
                <w:szCs w:val="18"/>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201</w:t>
            </w:r>
          </w:p>
        </w:tc>
      </w:tr>
      <w:tr>
        <w:trPr>
          <w:trHeight w:val="23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748</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748</w:t>
            </w:r>
          </w:p>
        </w:tc>
      </w:tr>
      <w:tr>
        <w:trPr>
          <w:trHeight w:val="250"/>
        </w:trPr>
        <w:tc>
          <w:tcPr>
            <w:tcW w:w="4120" w:type="dxa"/>
            <w:vAlign w:val="bottom"/>
          </w:tcPr>
          <w:p>
            <w:pPr>
              <w:spacing w:after="0"/>
              <w:rPr>
                <w:sz w:val="20"/>
                <w:szCs w:val="20"/>
                <w:color w:val="auto"/>
              </w:rPr>
            </w:pPr>
            <w:r>
              <w:rPr>
                <w:rFonts w:ascii="Arial" w:cs="Arial" w:eastAsia="Arial" w:hAnsi="Arial"/>
                <w:sz w:val="18"/>
                <w:szCs w:val="18"/>
                <w:color w:val="auto"/>
              </w:rPr>
              <w:t>Balance at June 30, 2018</w:t>
            </w: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35,520</w:t>
            </w: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278,441</w:t>
            </w: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(226,538)</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51,522</w:t>
            </w:r>
          </w:p>
        </w:tc>
      </w:tr>
      <w:tr>
        <w:trPr>
          <w:trHeight w:val="20"/>
        </w:trPr>
        <w:tc>
          <w:tcPr>
            <w:tcW w:w="4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840" w:type="dxa"/>
            <w:vAlign w:val="bottom"/>
          </w:tcPr>
          <w:p>
            <w:pPr>
              <w:jc w:val="center"/>
              <w:ind w:left="3450"/>
              <w:spacing w:after="0"/>
              <w:rPr>
                <w:sz w:val="20"/>
                <w:szCs w:val="20"/>
                <w:color w:val="auto"/>
              </w:rPr>
            </w:pPr>
            <w:r>
              <w:rPr>
                <w:rFonts w:ascii="Arial" w:cs="Arial" w:eastAsia="Arial" w:hAnsi="Arial"/>
                <w:sz w:val="18"/>
                <w:szCs w:val="18"/>
                <w:b w:val="1"/>
                <w:bCs w:val="1"/>
                <w:color w:val="auto"/>
                <w:w w:val="92"/>
              </w:rPr>
              <w:t>XBiotech Inc.</w:t>
            </w: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7840" w:type="dxa"/>
            <w:vAlign w:val="bottom"/>
          </w:tcPr>
          <w:p>
            <w:pPr>
              <w:jc w:val="center"/>
              <w:ind w:left="3450"/>
              <w:spacing w:after="0"/>
              <w:rPr>
                <w:sz w:val="20"/>
                <w:szCs w:val="20"/>
                <w:color w:val="auto"/>
              </w:rPr>
            </w:pPr>
            <w:r>
              <w:rPr>
                <w:rFonts w:ascii="Arial" w:cs="Arial" w:eastAsia="Arial" w:hAnsi="Arial"/>
                <w:sz w:val="18"/>
                <w:szCs w:val="18"/>
                <w:color w:val="auto"/>
                <w:w w:val="89"/>
              </w:rPr>
              <w:t>Consolidated Statements of Cash Flows</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40" w:type="dxa"/>
            <w:vAlign w:val="bottom"/>
          </w:tcPr>
          <w:p>
            <w:pPr>
              <w:jc w:val="center"/>
              <w:ind w:left="3450"/>
              <w:spacing w:after="0"/>
              <w:rPr>
                <w:sz w:val="20"/>
                <w:szCs w:val="20"/>
                <w:color w:val="auto"/>
              </w:rPr>
            </w:pPr>
            <w:r>
              <w:rPr>
                <w:rFonts w:ascii="Arial" w:cs="Arial" w:eastAsia="Arial" w:hAnsi="Arial"/>
                <w:sz w:val="18"/>
                <w:szCs w:val="18"/>
                <w:color w:val="auto"/>
                <w:w w:val="89"/>
              </w:rPr>
              <w:t>(in thousands)</w:t>
            </w: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80" w:type="dxa"/>
            <w:vAlign w:val="bottom"/>
            <w:gridSpan w:val="3"/>
          </w:tcPr>
          <w:p>
            <w:pPr>
              <w:jc w:val="right"/>
              <w:ind w:right="270"/>
              <w:spacing w:after="0"/>
              <w:rPr>
                <w:sz w:val="20"/>
                <w:szCs w:val="20"/>
                <w:color w:val="auto"/>
              </w:rPr>
            </w:pPr>
            <w:r>
              <w:rPr>
                <w:rFonts w:ascii="Arial" w:cs="Arial" w:eastAsia="Arial" w:hAnsi="Arial"/>
                <w:sz w:val="18"/>
                <w:szCs w:val="18"/>
                <w:b w:val="1"/>
                <w:bCs w:val="1"/>
                <w:color w:val="auto"/>
                <w:w w:val="98"/>
              </w:rPr>
              <w:t>Six Months Ended June 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40" w:type="dxa"/>
            <w:vAlign w:val="bottom"/>
            <w:tcBorders>
              <w:bottom w:val="single" w:sz="8" w:color="CCEEFF"/>
            </w:tcBorders>
          </w:tcPr>
          <w:p>
            <w:pPr>
              <w:spacing w:after="0"/>
              <w:rPr>
                <w:sz w:val="20"/>
                <w:szCs w:val="20"/>
                <w:color w:val="auto"/>
              </w:rPr>
            </w:pPr>
          </w:p>
        </w:tc>
        <w:tc>
          <w:tcPr>
            <w:tcW w:w="7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7"/>
              </w:rPr>
              <w:t>(unaudited)</w:t>
            </w: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7"/>
              </w:rPr>
              <w:t>(unaudited)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Net loss</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(11,716)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rPr>
              <w:t>Depreciation</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1,199</w:t>
            </w:r>
          </w:p>
        </w:tc>
        <w:tc>
          <w:tcPr>
            <w:tcW w:w="22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Share-based compensation expense</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1,056</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515</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(212)</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40"/>
              <w:spacing w:after="0"/>
              <w:rPr>
                <w:sz w:val="20"/>
                <w:szCs w:val="20"/>
                <w:color w:val="auto"/>
              </w:rPr>
            </w:pPr>
            <w:r>
              <w:rPr>
                <w:rFonts w:ascii="Arial" w:cs="Arial" w:eastAsia="Arial" w:hAnsi="Arial"/>
                <w:sz w:val="18"/>
                <w:szCs w:val="18"/>
                <w:color w:val="auto"/>
              </w:rPr>
              <w:t>Other liabilities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(9,540)</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Purchase of property and equipment</w:t>
            </w:r>
          </w:p>
        </w:tc>
        <w:tc>
          <w:tcPr>
            <w:tcW w:w="7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Issuance of common stock, net</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37,497</w:t>
            </w:r>
          </w:p>
        </w:tc>
        <w:tc>
          <w:tcPr>
            <w:tcW w:w="22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under stock option plan</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837</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Collection of subscription receivable</w:t>
            </w:r>
          </w:p>
        </w:tc>
        <w:tc>
          <w:tcPr>
            <w:tcW w:w="7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302</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38,636</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foreign exchange rate on cash and cash equivalents</w:t>
            </w:r>
          </w:p>
        </w:tc>
        <w:tc>
          <w:tcPr>
            <w:tcW w:w="7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39</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29,098</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7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15,823</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31,768</w:t>
            </w:r>
          </w:p>
        </w:tc>
        <w:tc>
          <w:tcPr>
            <w:tcW w:w="0" w:type="dxa"/>
            <w:vAlign w:val="bottom"/>
          </w:tcPr>
          <w:p>
            <w:pPr>
              <w:spacing w:after="0"/>
              <w:rPr>
                <w:sz w:val="1"/>
                <w:szCs w:val="1"/>
                <w:color w:val="auto"/>
              </w:rPr>
            </w:pPr>
          </w:p>
        </w:tc>
      </w:tr>
      <w:tr>
        <w:trPr>
          <w:trHeight w:val="290"/>
        </w:trPr>
        <w:tc>
          <w:tcPr>
            <w:tcW w:w="786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44,921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24,849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8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b w:val="1"/>
                <w:bCs w:val="1"/>
                <w:color w:val="auto"/>
              </w:rPr>
              <w:t>Supplemental Information:</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Accrued purchases of property and equipment</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109</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 w:name="page12"/>
    <w:bookmarkEnd w:id="11"/>
    <w:p>
      <w:pPr>
        <w:jc w:val="center"/>
        <w:ind w:right="-39"/>
        <w:spacing w:after="0"/>
        <w:rPr>
          <w:sz w:val="20"/>
          <w:szCs w:val="20"/>
          <w:color w:val="auto"/>
        </w:rPr>
      </w:pPr>
      <w:r>
        <w:rPr>
          <w:rFonts w:ascii="Arial" w:cs="Arial" w:eastAsia="Arial" w:hAnsi="Arial"/>
          <w:sz w:val="18"/>
          <w:szCs w:val="18"/>
          <w:b w:val="1"/>
          <w:bCs w:val="1"/>
          <w:color w:val="auto"/>
        </w:rPr>
        <w:t>XBiotech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Consolidated Financial Statements (Unaudited)</w:t>
      </w:r>
    </w:p>
    <w:p>
      <w:pPr>
        <w:spacing w:after="0" w:line="207"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22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XBiotech Inc. (“XBiotech” or “the Company”) was incorporated in Canada on March 22, 2005. XBiotech USA, Inc., a wholly-owned subsidiary of the Company, was incorporated in Delaware, United States (“U.S.”) in November 2007. XBiotech Switzerland AG, a wholly-owned subsidiary of the Company, was incorporated in Zug, Switzerland in August 2010. XBiotech Japan K.K., a wholly-owned subsidiary of the Company, was incorporated in Tokyo, Japan in March 2013. XBiotech Germany GmbH, a wholly-owned subsidiary of the Company, was incorporated in Germany in January 2014. The Company’s headquarters are located in Austin, Texas.</w:t>
      </w:r>
    </w:p>
    <w:p>
      <w:pPr>
        <w:spacing w:after="0" w:line="18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XBiotech Inc. is a pre-market biopharmaceutical company engaged in discovering and developing True Human™ monoclonal antibodies for treating a variety of diseases. True Human™ monoclonal antibodies are those which occur naturally in human beings—as opposed to being derived from animal immunization or otherwise engineered. The Company believes that naturally occurring monoclonal antibodies have the potential to be safer and more effective than their non-naturally occurring counterparts. XBiotech is focused on developing its True Human™ pipeline and manufacturing system. The Company’s pipeline consists of product candidates at various stages of development across an array of indications including oncology, dermatology, other inflammatory conditions, such as peripheral vascular disease, type 2 diabetes, and infectious diseases.</w:t>
      </w:r>
    </w:p>
    <w:p>
      <w:pPr>
        <w:spacing w:after="0" w:line="174" w:lineRule="exact"/>
        <w:rPr>
          <w:sz w:val="20"/>
          <w:szCs w:val="20"/>
          <w:color w:val="auto"/>
        </w:rPr>
      </w:pPr>
    </w:p>
    <w:p>
      <w:pPr>
        <w:ind w:right="8660" w:firstLine="8"/>
        <w:spacing w:after="0" w:line="503" w:lineRule="auto"/>
        <w:tabs>
          <w:tab w:leader="none" w:pos="351"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Basis of Presentation</w:t>
      </w:r>
    </w:p>
    <w:p>
      <w:pPr>
        <w:spacing w:after="0" w:line="1"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These consolidated financial statements have been prepared in conformity with accounting principles generally accepted in the United States (“US GAAP”). In the opinion of management, the accompanying consolidated financial statements reflect all adjustments (consisting only of normal recurring items) considered necessary to present fairly the Company’s financial position at June 30, 2019 and December 31, 2018, the results of its operations, comprehensive loss and changes in shareholders’ equity for the three month and six month periods ended June 30, 2019 and 2018, and the cash flows for the six month periods ended June 30, 2019 and 2018.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Consolidation</w:t>
      </w:r>
    </w:p>
    <w:p>
      <w:pPr>
        <w:spacing w:after="0" w:line="229"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All significant intercompany transactions have been eliminated upon consolidation.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The preparation of financial statements in accordance with accounting principles generally accepted in the U.S. requires management to make estimates and assumptions that affect the reported values of amounts in the financial statements and accompanying notes. Actual results could differ from those estimates.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All research and development costs are charged to expense as incurred. Research and development costs include salaries and personnel-related costs, consulting fees, fees paid for contract clinical trial research services, the costs of laboratory consumables, equipment and facilities, license fees and other external costs. Costs incurred to acquire licenses for intellectual property to be used in research and development activities with no alternative future use are expensed as incurred as research and development costs.</w:t>
      </w:r>
    </w:p>
    <w:p>
      <w:pPr>
        <w:spacing w:after="0" w:line="187"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Nonrefundable advance payments for goods or services to be received in the future for use in research and development activities are deferred and capitalized. These nonrefundable advance payments are recorded within other prepaid expenses and other current assets in the consolidated balance sheets. The capitalized amounts are expensed as the related goods are delivered or the services are performed.</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 xml:space="preserve">The Company accounts for its share-based compensation awards in accordance with ASC Topic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(“ASC 718”). ASC 718 requires all share-based payments to employees, including grants of employee stock options, to be recognized in the statements of operations based on their grant date fair values. For stock options granted to employees and to members of the board of directors for their services on the board of directors, the Company estimates the grant date fair value of each option award using the Black-Scholes option-pricing model. The use of the Black-Scholes option-pricing model requires management to make assumptions with respect to the expected term of the option, the expected volatility of the common stock consistent with the expected life of the option, risk-free interest rates and expected dividend yields of the common stock. To determine the fair value of its common stock, the Company uses the closing price of the Company’s common stock as reported by NASDAQ. For awards subject to service-based vesting conditions, the Company recognizes share-based compensation expense, equal to the grant date fair value of stock options on a straight-line basis over the requisite service period. The Company accounts for forfeitures as they occur rather than on an estimated basis.</w:t>
      </w:r>
    </w:p>
    <w:p>
      <w:pPr>
        <w:spacing w:after="0" w:line="16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Share-based compensation expense recognized for the three and six months ended June 30, 2019 and 2018 was included in the following line items on the Consolidated Statements of Operations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256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rPr>
              <w:t>Three Months Ended</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2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rPr>
              <w:t>Six Months Ended</w:t>
            </w:r>
          </w:p>
        </w:tc>
      </w:tr>
      <w:tr>
        <w:trPr>
          <w:trHeight w:val="230"/>
        </w:trPr>
        <w:tc>
          <w:tcPr>
            <w:tcW w:w="4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560" w:type="dxa"/>
            <w:vAlign w:val="bottom"/>
            <w:gridSpan w:val="2"/>
          </w:tcPr>
          <w:p>
            <w:pPr>
              <w:jc w:val="right"/>
              <w:ind w:right="650"/>
              <w:spacing w:after="0"/>
              <w:rPr>
                <w:sz w:val="20"/>
                <w:szCs w:val="20"/>
                <w:color w:val="auto"/>
              </w:rPr>
            </w:pPr>
            <w:r>
              <w:rPr>
                <w:rFonts w:ascii="Arial" w:cs="Arial" w:eastAsia="Arial" w:hAnsi="Arial"/>
                <w:sz w:val="18"/>
                <w:szCs w:val="18"/>
                <w:b w:val="1"/>
                <w:bCs w:val="1"/>
                <w:color w:val="auto"/>
              </w:rPr>
              <w:t>June 30,</w:t>
            </w: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20" w:type="dxa"/>
            <w:vAlign w:val="bottom"/>
          </w:tcPr>
          <w:p>
            <w:pPr>
              <w:spacing w:after="0"/>
              <w:rPr>
                <w:sz w:val="19"/>
                <w:szCs w:val="19"/>
                <w:color w:val="auto"/>
              </w:rPr>
            </w:pPr>
          </w:p>
        </w:tc>
      </w:tr>
      <w:tr>
        <w:trPr>
          <w:trHeight w:val="234"/>
        </w:trPr>
        <w:tc>
          <w:tcPr>
            <w:tcW w:w="424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2019</w:t>
            </w:r>
          </w:p>
        </w:tc>
        <w:tc>
          <w:tcPr>
            <w:tcW w:w="4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2018</w:t>
            </w:r>
          </w:p>
        </w:tc>
        <w:tc>
          <w:tcPr>
            <w:tcW w:w="4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5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1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000" w:type="dxa"/>
            <w:vAlign w:val="bottom"/>
            <w:shd w:val="clear" w:color="auto" w:fill="CCEEFF"/>
          </w:tcPr>
          <w:p>
            <w:pPr>
              <w:jc w:val="right"/>
              <w:ind w:right="837"/>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291</w:t>
            </w:r>
          </w:p>
        </w:tc>
        <w:tc>
          <w:tcPr>
            <w:tcW w:w="11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586</w:t>
            </w:r>
          </w:p>
        </w:tc>
        <w:tc>
          <w:tcPr>
            <w:tcW w:w="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w:t>
            </w:r>
          </w:p>
        </w:tc>
      </w:tr>
      <w:tr>
        <w:trPr>
          <w:trHeight w:val="230"/>
        </w:trPr>
        <w:tc>
          <w:tcPr>
            <w:tcW w:w="4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10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195</w:t>
            </w:r>
          </w:p>
        </w:tc>
        <w:tc>
          <w:tcPr>
            <w:tcW w:w="1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w:t>
            </w:r>
          </w:p>
        </w:tc>
        <w:tc>
          <w:tcPr>
            <w:tcW w:w="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470</w:t>
            </w: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497</w:t>
            </w:r>
          </w:p>
        </w:tc>
      </w:tr>
      <w:tr>
        <w:trPr>
          <w:trHeight w:val="250"/>
        </w:trPr>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share-based compensation expense</w:t>
            </w:r>
          </w:p>
        </w:tc>
        <w:tc>
          <w:tcPr>
            <w:tcW w:w="1000" w:type="dxa"/>
            <w:vAlign w:val="bottom"/>
            <w:tcBorders>
              <w:bottom w:val="single" w:sz="8" w:color="auto"/>
            </w:tcBorders>
            <w:shd w:val="clear" w:color="auto" w:fill="CCEEFF"/>
          </w:tcPr>
          <w:p>
            <w:pPr>
              <w:jc w:val="right"/>
              <w:ind w:right="837"/>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486</w:t>
            </w:r>
          </w:p>
        </w:tc>
        <w:tc>
          <w:tcPr>
            <w:tcW w:w="110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1,056</w:t>
            </w:r>
          </w:p>
        </w:tc>
        <w:tc>
          <w:tcPr>
            <w:tcW w:w="5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747</w:t>
            </w:r>
          </w:p>
        </w:tc>
      </w:tr>
      <w:tr>
        <w:trPr>
          <w:trHeight w:val="20"/>
        </w:trPr>
        <w:tc>
          <w:tcPr>
            <w:tcW w:w="4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of each option is estimated on the date of grant using the Black-Scholes method with the following assumptions: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1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Three Months Ended</w:t>
            </w: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1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Six Months Ended</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2019</w:t>
            </w:r>
          </w:p>
        </w:tc>
        <w:tc>
          <w:tcPr>
            <w:tcW w:w="13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4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2018</w:t>
            </w:r>
          </w:p>
        </w:tc>
        <w:tc>
          <w:tcPr>
            <w:tcW w:w="6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2019</w:t>
            </w: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4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2018</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6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vMerge w:val="continue"/>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vMerge w:val="continue"/>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vMerge w:val="continue"/>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vMerge w:val="continue"/>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Expected volatility</w:t>
            </w:r>
          </w:p>
        </w:tc>
        <w:tc>
          <w:tcPr>
            <w:tcW w:w="60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94"/>
              </w:rPr>
              <w:t>91%</w:t>
            </w: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94"/>
              </w:rPr>
              <w:t>80%</w:t>
            </w:r>
          </w:p>
        </w:tc>
        <w:tc>
          <w:tcPr>
            <w:tcW w:w="660" w:type="dxa"/>
            <w:vAlign w:val="bottom"/>
          </w:tcPr>
          <w:p>
            <w:pPr>
              <w:spacing w:after="0"/>
              <w:rPr>
                <w:sz w:val="18"/>
                <w:szCs w:val="18"/>
                <w:color w:val="auto"/>
              </w:rPr>
            </w:pPr>
          </w:p>
        </w:tc>
        <w:tc>
          <w:tcPr>
            <w:tcW w:w="660" w:type="dxa"/>
            <w:vAlign w:val="bottom"/>
          </w:tcPr>
          <w:p>
            <w:pPr>
              <w:jc w:val="center"/>
              <w:ind w:left="50"/>
              <w:spacing w:after="0"/>
              <w:rPr>
                <w:sz w:val="20"/>
                <w:szCs w:val="20"/>
                <w:color w:val="auto"/>
              </w:rPr>
            </w:pPr>
            <w:r>
              <w:rPr>
                <w:rFonts w:ascii="Arial" w:cs="Arial" w:eastAsia="Arial" w:hAnsi="Arial"/>
                <w:sz w:val="18"/>
                <w:szCs w:val="18"/>
                <w:color w:val="auto"/>
                <w:w w:val="88"/>
              </w:rPr>
              <w:t>80%</w:t>
            </w: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60" w:type="dxa"/>
            <w:vAlign w:val="bottom"/>
          </w:tcPr>
          <w:p>
            <w:pPr>
              <w:jc w:val="center"/>
              <w:ind w:right="50"/>
              <w:spacing w:after="0"/>
              <w:rPr>
                <w:sz w:val="20"/>
                <w:szCs w:val="20"/>
                <w:color w:val="auto"/>
              </w:rPr>
            </w:pPr>
            <w:r>
              <w:rPr>
                <w:rFonts w:ascii="Arial" w:cs="Arial" w:eastAsia="Arial" w:hAnsi="Arial"/>
                <w:sz w:val="18"/>
                <w:szCs w:val="18"/>
                <w:color w:val="auto"/>
                <w:w w:val="88"/>
              </w:rPr>
              <w:t>91%</w:t>
            </w:r>
          </w:p>
        </w:tc>
        <w:tc>
          <w:tcPr>
            <w:tcW w:w="660" w:type="dxa"/>
            <w:vAlign w:val="bottom"/>
          </w:tcPr>
          <w:p>
            <w:pPr>
              <w:jc w:val="center"/>
              <w:ind w:left="50"/>
              <w:spacing w:after="0"/>
              <w:rPr>
                <w:sz w:val="20"/>
                <w:szCs w:val="20"/>
                <w:color w:val="auto"/>
              </w:rPr>
            </w:pPr>
            <w:r>
              <w:rPr>
                <w:rFonts w:ascii="Arial" w:cs="Arial" w:eastAsia="Arial" w:hAnsi="Arial"/>
                <w:sz w:val="18"/>
                <w:szCs w:val="18"/>
                <w:color w:val="auto"/>
                <w:w w:val="88"/>
              </w:rPr>
              <w:t>67%</w:t>
            </w: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00" w:type="dxa"/>
            <w:vAlign w:val="bottom"/>
          </w:tcPr>
          <w:p>
            <w:pPr>
              <w:jc w:val="center"/>
              <w:spacing w:after="0"/>
              <w:rPr>
                <w:sz w:val="20"/>
                <w:szCs w:val="20"/>
                <w:color w:val="auto"/>
              </w:rPr>
            </w:pPr>
            <w:r>
              <w:rPr>
                <w:rFonts w:ascii="Arial" w:cs="Arial" w:eastAsia="Arial" w:hAnsi="Arial"/>
                <w:sz w:val="18"/>
                <w:szCs w:val="18"/>
                <w:color w:val="auto"/>
                <w:w w:val="88"/>
              </w:rPr>
              <w:t>80%</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0"/>
              </w:rPr>
              <w:t>2.35%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3"/>
              </w:rPr>
              <w:t>2.90%</w:t>
            </w:r>
          </w:p>
        </w:tc>
        <w:tc>
          <w:tcPr>
            <w:tcW w:w="66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3"/>
              </w:rPr>
              <w:t>1.80%</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3"/>
              </w:rPr>
              <w:t>2.64%</w:t>
            </w:r>
          </w:p>
        </w:tc>
        <w:tc>
          <w:tcPr>
            <w:tcW w:w="6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0"/>
              </w:rPr>
              <w:t>2.38%</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0"/>
              </w:rPr>
              <w:t>2.90%</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Expected life (in years)</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5.75</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50"/>
              <w:spacing w:after="0"/>
              <w:rPr>
                <w:sz w:val="20"/>
                <w:szCs w:val="20"/>
                <w:color w:val="auto"/>
              </w:rPr>
            </w:pPr>
            <w:r>
              <w:rPr>
                <w:rFonts w:ascii="Arial" w:cs="Arial" w:eastAsia="Arial" w:hAnsi="Arial"/>
                <w:sz w:val="18"/>
                <w:szCs w:val="18"/>
                <w:color w:val="auto"/>
              </w:rPr>
              <w:t>6.25</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5.38</w:t>
            </w: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10</w:t>
            </w:r>
          </w:p>
        </w:tc>
        <w:tc>
          <w:tcPr>
            <w:tcW w:w="660" w:type="dxa"/>
            <w:vAlign w:val="bottom"/>
          </w:tcPr>
          <w:p>
            <w:pPr>
              <w:jc w:val="center"/>
              <w:ind w:left="50"/>
              <w:spacing w:after="0"/>
              <w:rPr>
                <w:sz w:val="20"/>
                <w:szCs w:val="20"/>
                <w:color w:val="auto"/>
              </w:rPr>
            </w:pPr>
            <w:r>
              <w:rPr>
                <w:rFonts w:ascii="Arial" w:cs="Arial" w:eastAsia="Arial" w:hAnsi="Arial"/>
                <w:sz w:val="18"/>
                <w:szCs w:val="18"/>
                <w:color w:val="auto"/>
                <w:w w:val="91"/>
              </w:rPr>
              <w:t>5.75</w:t>
            </w: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60" w:type="dxa"/>
            <w:vAlign w:val="bottom"/>
          </w:tcPr>
          <w:p>
            <w:pPr>
              <w:jc w:val="center"/>
              <w:ind w:right="30"/>
              <w:spacing w:after="0"/>
              <w:rPr>
                <w:sz w:val="20"/>
                <w:szCs w:val="20"/>
                <w:color w:val="auto"/>
              </w:rPr>
            </w:pPr>
            <w:r>
              <w:rPr>
                <w:rFonts w:ascii="Arial" w:cs="Arial" w:eastAsia="Arial" w:hAnsi="Arial"/>
                <w:sz w:val="18"/>
                <w:szCs w:val="18"/>
                <w:color w:val="auto"/>
                <w:w w:val="89"/>
              </w:rPr>
              <w:t>10</w:t>
            </w:r>
          </w:p>
        </w:tc>
        <w:tc>
          <w:tcPr>
            <w:tcW w:w="660" w:type="dxa"/>
            <w:vAlign w:val="bottom"/>
          </w:tcPr>
          <w:p>
            <w:pPr>
              <w:jc w:val="center"/>
              <w:ind w:left="50"/>
              <w:spacing w:after="0"/>
              <w:rPr>
                <w:sz w:val="20"/>
                <w:szCs w:val="20"/>
                <w:color w:val="auto"/>
              </w:rPr>
            </w:pPr>
            <w:r>
              <w:rPr>
                <w:rFonts w:ascii="Arial" w:cs="Arial" w:eastAsia="Arial" w:hAnsi="Arial"/>
                <w:sz w:val="18"/>
                <w:szCs w:val="18"/>
                <w:color w:val="auto"/>
                <w:w w:val="91"/>
              </w:rPr>
              <w:t>5.38</w:t>
            </w: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00" w:type="dxa"/>
            <w:vAlign w:val="bottom"/>
          </w:tcPr>
          <w:p>
            <w:pPr>
              <w:jc w:val="center"/>
              <w:ind w:right="10"/>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grant date fair value per share</w:t>
            </w: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5.56</w:t>
            </w: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4.52</w:t>
            </w: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4.99</w:t>
            </w: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4.53</w:t>
            </w: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Company considers highly liquid investments with a maturity of three months or less when purchased to be cash equivalents. Cash and cash equivalents consisted primarily of cash on deposit in U.S., German, Swiss, Japanese and Canadian banks. Cash and cash equivalents are stated at cost which approximates fair value.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22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Financial instruments that potentially subject the Company to credit risk consist primarily of cash and cash equivalents. The Company holds these investments in highly-rated financial institutions, and limits the amounts of credit exposure to any one financial institution. These amounts at times may exceed federally insured limits. The Company has not experienced any credit losses in such accounts and does not believe it is exposed to any significant credit risk on these funds. The Company has no off-balance sheet concentrations of credit risk, such as foreign currency exchange contracts, option contracts or other hedging arrangements.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100" w:firstLine="551"/>
        <w:spacing w:after="0" w:line="264" w:lineRule="auto"/>
        <w:rPr>
          <w:sz w:val="20"/>
          <w:szCs w:val="20"/>
          <w:color w:val="auto"/>
        </w:rPr>
      </w:pPr>
      <w:r>
        <w:rPr>
          <w:rFonts w:ascii="Arial" w:cs="Arial" w:eastAsia="Arial" w:hAnsi="Arial"/>
          <w:sz w:val="18"/>
          <w:szCs w:val="18"/>
          <w:color w:val="auto"/>
        </w:rPr>
        <w:t xml:space="preserve">The Company follows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which establishes a fair value hierarchy for those instruments measured at fair value that distinguishes between assumptions based on market date (observable inputs) and the Company’s own assumptions (unobservable inputs). The hierarchy consists of three levels:</w:t>
      </w:r>
    </w:p>
    <w:p>
      <w:pPr>
        <w:spacing w:after="0" w:line="181" w:lineRule="exact"/>
        <w:rPr>
          <w:sz w:val="20"/>
          <w:szCs w:val="20"/>
          <w:color w:val="auto"/>
        </w:rPr>
      </w:pPr>
    </w:p>
    <w:p>
      <w:pPr>
        <w:ind w:left="880" w:hanging="332"/>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1—Unadjusted quoted prices in active markets for identical assets or liabilities.</w:t>
      </w:r>
    </w:p>
    <w:p>
      <w:pPr>
        <w:spacing w:after="0" w:line="252" w:lineRule="exact"/>
        <w:rPr>
          <w:rFonts w:ascii="Arial" w:cs="Arial" w:eastAsia="Arial" w:hAnsi="Arial"/>
          <w:sz w:val="18"/>
          <w:szCs w:val="18"/>
          <w:color w:val="auto"/>
        </w:rPr>
      </w:pPr>
    </w:p>
    <w:p>
      <w:pPr>
        <w:ind w:left="880" w:right="560" w:hanging="332"/>
        <w:spacing w:after="0" w:line="277"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2—Quoted prices for similar assets and liabilities in active markets, quoted prices in markets that are not active, or inputs which are observable, either directly or indirectly, for substantially the full term of the asset or liability.</w:t>
      </w:r>
    </w:p>
    <w:p>
      <w:pPr>
        <w:spacing w:after="0" w:line="197" w:lineRule="exact"/>
        <w:rPr>
          <w:rFonts w:ascii="Arial" w:cs="Arial" w:eastAsia="Arial" w:hAnsi="Arial"/>
          <w:sz w:val="18"/>
          <w:szCs w:val="18"/>
          <w:color w:val="auto"/>
        </w:rPr>
      </w:pPr>
    </w:p>
    <w:p>
      <w:pPr>
        <w:ind w:left="880" w:right="200" w:hanging="332"/>
        <w:spacing w:after="0" w:line="277"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3—Unobservable inputs that reflect the Company’s own assumptions about the assumptions market participants would use in pricing the asset or liability in which there is little, if any, market activity for the asset or liability at the measurement date.</w:t>
      </w:r>
    </w:p>
    <w:p>
      <w:pPr>
        <w:spacing w:after="0" w:line="170" w:lineRule="exact"/>
        <w:rPr>
          <w:sz w:val="20"/>
          <w:szCs w:val="20"/>
          <w:color w:val="auto"/>
        </w:rPr>
      </w:pPr>
    </w:p>
    <w:p>
      <w:pPr>
        <w:ind w:right="100" w:firstLine="551"/>
        <w:spacing w:after="0" w:line="286" w:lineRule="auto"/>
        <w:rPr>
          <w:sz w:val="20"/>
          <w:szCs w:val="20"/>
          <w:color w:val="auto"/>
        </w:rPr>
      </w:pPr>
      <w:r>
        <w:rPr>
          <w:rFonts w:ascii="Arial" w:cs="Arial" w:eastAsia="Arial" w:hAnsi="Arial"/>
          <w:sz w:val="17"/>
          <w:szCs w:val="17"/>
          <w:color w:val="auto"/>
        </w:rPr>
        <w:t>At June 30, 2019 and December 31, 2018, the Company did not have any assets or liabilities that are measured at fair value on a recurring basis. The carrying amounts reflected in the balance sheets for cash and cash equivalents, prepaid expenses and other current assets, accounts payable, and accrued expenses approximate their fair values at June 30, 2019 and December 31, 2018, due to their short-term nature.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Property and equipment, which consists of land, construction in process, furniture and fixtures, computers and office equipment, scientific equipment, leasehold improvements, vehicles and building are stated at cost and depreciated over the estimated useful lives of the assets, with the exception of land and construction in process which are not depreciated, using the straight line method. The useful lives are as follows:</w:t>
      </w:r>
    </w:p>
    <w:p>
      <w:pPr>
        <w:spacing w:after="0" w:line="382" w:lineRule="exact"/>
        <w:rPr>
          <w:sz w:val="20"/>
          <w:szCs w:val="20"/>
          <w:color w:val="auto"/>
        </w:rPr>
      </w:pPr>
    </w:p>
    <w:tbl>
      <w:tblPr>
        <w:tblLayout w:type="fixed"/>
        <w:tblInd w:w="680" w:type="dxa"/>
        <w:tblCellMar>
          <w:top w:w="0" w:type="dxa"/>
          <w:left w:w="0" w:type="dxa"/>
          <w:bottom w:w="0" w:type="dxa"/>
          <w:right w:w="0" w:type="dxa"/>
        </w:tblCellMar>
      </w:tblPr>
      <w:tr>
        <w:trPr>
          <w:trHeight w:val="230"/>
        </w:trPr>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3280" w:type="dxa"/>
            <w:vAlign w:val="bottom"/>
          </w:tcPr>
          <w:p>
            <w:pPr>
              <w:ind w:left="140"/>
              <w:spacing w:after="0"/>
              <w:rPr>
                <w:sz w:val="20"/>
                <w:szCs w:val="20"/>
                <w:color w:val="auto"/>
              </w:rPr>
            </w:pPr>
            <w:r>
              <w:rPr>
                <w:rFonts w:ascii="Arial" w:cs="Arial" w:eastAsia="Arial" w:hAnsi="Arial"/>
                <w:sz w:val="18"/>
                <w:szCs w:val="18"/>
                <w:color w:val="auto"/>
              </w:rPr>
              <w:t>Furniture and fixtures</w:t>
            </w:r>
          </w:p>
        </w:tc>
        <w:tc>
          <w:tcPr>
            <w:tcW w:w="5100" w:type="dxa"/>
            <w:vAlign w:val="bottom"/>
          </w:tcPr>
          <w:p>
            <w:pPr>
              <w:ind w:left="1340"/>
              <w:spacing w:after="0"/>
              <w:rPr>
                <w:sz w:val="20"/>
                <w:szCs w:val="20"/>
                <w:color w:val="auto"/>
              </w:rPr>
            </w:pPr>
            <w:r>
              <w:rPr>
                <w:rFonts w:ascii="Arial" w:cs="Arial" w:eastAsia="Arial" w:hAnsi="Arial"/>
                <w:sz w:val="18"/>
                <w:szCs w:val="18"/>
                <w:color w:val="auto"/>
              </w:rPr>
              <w:t>7 years</w:t>
            </w:r>
          </w:p>
        </w:tc>
      </w:tr>
      <w:tr>
        <w:trPr>
          <w:trHeight w:val="432"/>
        </w:trPr>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3280" w:type="dxa"/>
            <w:vAlign w:val="bottom"/>
          </w:tcPr>
          <w:p>
            <w:pPr>
              <w:ind w:left="140"/>
              <w:spacing w:after="0"/>
              <w:rPr>
                <w:sz w:val="20"/>
                <w:szCs w:val="20"/>
                <w:color w:val="auto"/>
              </w:rPr>
            </w:pPr>
            <w:r>
              <w:rPr>
                <w:rFonts w:ascii="Arial" w:cs="Arial" w:eastAsia="Arial" w:hAnsi="Arial"/>
                <w:sz w:val="18"/>
                <w:szCs w:val="18"/>
                <w:color w:val="auto"/>
              </w:rPr>
              <w:t>Office equipment</w:t>
            </w:r>
          </w:p>
        </w:tc>
        <w:tc>
          <w:tcPr>
            <w:tcW w:w="5100" w:type="dxa"/>
            <w:vAlign w:val="bottom"/>
          </w:tcPr>
          <w:p>
            <w:pPr>
              <w:ind w:left="1340"/>
              <w:spacing w:after="0"/>
              <w:rPr>
                <w:sz w:val="20"/>
                <w:szCs w:val="20"/>
                <w:color w:val="auto"/>
              </w:rPr>
            </w:pPr>
            <w:r>
              <w:rPr>
                <w:rFonts w:ascii="Arial" w:cs="Arial" w:eastAsia="Arial" w:hAnsi="Arial"/>
                <w:sz w:val="18"/>
                <w:szCs w:val="18"/>
                <w:color w:val="auto"/>
              </w:rPr>
              <w:t>5 years</w:t>
            </w:r>
          </w:p>
        </w:tc>
      </w:tr>
      <w:tr>
        <w:trPr>
          <w:trHeight w:val="432"/>
        </w:trPr>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3280" w:type="dxa"/>
            <w:vAlign w:val="bottom"/>
          </w:tcPr>
          <w:p>
            <w:pPr>
              <w:ind w:left="140"/>
              <w:spacing w:after="0"/>
              <w:rPr>
                <w:sz w:val="20"/>
                <w:szCs w:val="20"/>
                <w:color w:val="auto"/>
              </w:rPr>
            </w:pPr>
            <w:r>
              <w:rPr>
                <w:rFonts w:ascii="Arial" w:cs="Arial" w:eastAsia="Arial" w:hAnsi="Arial"/>
                <w:sz w:val="18"/>
                <w:szCs w:val="18"/>
                <w:color w:val="auto"/>
              </w:rPr>
              <w:t>Leasehold improvements</w:t>
            </w:r>
          </w:p>
        </w:tc>
        <w:tc>
          <w:tcPr>
            <w:tcW w:w="5100" w:type="dxa"/>
            <w:vAlign w:val="bottom"/>
          </w:tcPr>
          <w:p>
            <w:pPr>
              <w:ind w:left="1340"/>
              <w:spacing w:after="0"/>
              <w:rPr>
                <w:sz w:val="20"/>
                <w:szCs w:val="20"/>
                <w:color w:val="auto"/>
              </w:rPr>
            </w:pPr>
            <w:r>
              <w:rPr>
                <w:rFonts w:ascii="Arial" w:cs="Arial" w:eastAsia="Arial" w:hAnsi="Arial"/>
                <w:sz w:val="18"/>
                <w:szCs w:val="18"/>
                <w:color w:val="auto"/>
                <w:w w:val="90"/>
              </w:rPr>
              <w:t>Shorter of asset’s useful life or remaining lease term</w:t>
            </w:r>
          </w:p>
        </w:tc>
      </w:tr>
      <w:tr>
        <w:trPr>
          <w:trHeight w:val="432"/>
        </w:trPr>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3280" w:type="dxa"/>
            <w:vAlign w:val="bottom"/>
          </w:tcPr>
          <w:p>
            <w:pPr>
              <w:ind w:left="140"/>
              <w:spacing w:after="0"/>
              <w:rPr>
                <w:sz w:val="20"/>
                <w:szCs w:val="20"/>
                <w:color w:val="auto"/>
              </w:rPr>
            </w:pPr>
            <w:r>
              <w:rPr>
                <w:rFonts w:ascii="Arial" w:cs="Arial" w:eastAsia="Arial" w:hAnsi="Arial"/>
                <w:sz w:val="18"/>
                <w:szCs w:val="18"/>
                <w:color w:val="auto"/>
              </w:rPr>
              <w:t>Scientific equipment</w:t>
            </w:r>
          </w:p>
        </w:tc>
        <w:tc>
          <w:tcPr>
            <w:tcW w:w="5100" w:type="dxa"/>
            <w:vAlign w:val="bottom"/>
          </w:tcPr>
          <w:p>
            <w:pPr>
              <w:ind w:left="1340"/>
              <w:spacing w:after="0"/>
              <w:rPr>
                <w:sz w:val="20"/>
                <w:szCs w:val="20"/>
                <w:color w:val="auto"/>
              </w:rPr>
            </w:pPr>
            <w:r>
              <w:rPr>
                <w:rFonts w:ascii="Arial" w:cs="Arial" w:eastAsia="Arial" w:hAnsi="Arial"/>
                <w:sz w:val="18"/>
                <w:szCs w:val="18"/>
                <w:color w:val="auto"/>
              </w:rPr>
              <w:t>5 years</w:t>
            </w:r>
          </w:p>
        </w:tc>
      </w:tr>
      <w:tr>
        <w:trPr>
          <w:trHeight w:val="432"/>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280" w:type="dxa"/>
            <w:vAlign w:val="bottom"/>
          </w:tcPr>
          <w:p>
            <w:pPr>
              <w:ind w:left="120"/>
              <w:spacing w:after="0"/>
              <w:rPr>
                <w:sz w:val="20"/>
                <w:szCs w:val="20"/>
                <w:color w:val="auto"/>
              </w:rPr>
            </w:pPr>
            <w:r>
              <w:rPr>
                <w:rFonts w:ascii="Arial" w:cs="Arial" w:eastAsia="Arial" w:hAnsi="Arial"/>
                <w:sz w:val="18"/>
                <w:szCs w:val="18"/>
                <w:color w:val="auto"/>
              </w:rPr>
              <w:t>Vehicles</w:t>
            </w:r>
          </w:p>
        </w:tc>
        <w:tc>
          <w:tcPr>
            <w:tcW w:w="5100" w:type="dxa"/>
            <w:vAlign w:val="bottom"/>
          </w:tcPr>
          <w:p>
            <w:pPr>
              <w:ind w:left="1340"/>
              <w:spacing w:after="0"/>
              <w:rPr>
                <w:sz w:val="20"/>
                <w:szCs w:val="20"/>
                <w:color w:val="auto"/>
              </w:rPr>
            </w:pPr>
            <w:r>
              <w:rPr>
                <w:rFonts w:ascii="Arial" w:cs="Arial" w:eastAsia="Arial" w:hAnsi="Arial"/>
                <w:sz w:val="18"/>
                <w:szCs w:val="18"/>
                <w:color w:val="auto"/>
              </w:rPr>
              <w:t>5 years</w:t>
            </w:r>
          </w:p>
        </w:tc>
      </w:tr>
      <w:tr>
        <w:trPr>
          <w:trHeight w:val="432"/>
        </w:trPr>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3280" w:type="dxa"/>
            <w:vAlign w:val="bottom"/>
          </w:tcPr>
          <w:p>
            <w:pPr>
              <w:ind w:left="140"/>
              <w:spacing w:after="0"/>
              <w:rPr>
                <w:sz w:val="20"/>
                <w:szCs w:val="20"/>
                <w:color w:val="auto"/>
              </w:rPr>
            </w:pPr>
            <w:r>
              <w:rPr>
                <w:rFonts w:ascii="Arial" w:cs="Arial" w:eastAsia="Arial" w:hAnsi="Arial"/>
                <w:sz w:val="18"/>
                <w:szCs w:val="18"/>
                <w:color w:val="auto"/>
              </w:rPr>
              <w:t>Building</w:t>
            </w:r>
          </w:p>
        </w:tc>
        <w:tc>
          <w:tcPr>
            <w:tcW w:w="5100" w:type="dxa"/>
            <w:vAlign w:val="bottom"/>
          </w:tcPr>
          <w:p>
            <w:pPr>
              <w:ind w:left="1340"/>
              <w:spacing w:after="0"/>
              <w:rPr>
                <w:sz w:val="20"/>
                <w:szCs w:val="20"/>
                <w:color w:val="auto"/>
              </w:rPr>
            </w:pPr>
            <w:r>
              <w:rPr>
                <w:rFonts w:ascii="Arial" w:cs="Arial" w:eastAsia="Arial" w:hAnsi="Arial"/>
                <w:sz w:val="18"/>
                <w:szCs w:val="18"/>
                <w:color w:val="auto"/>
              </w:rPr>
              <w:t>39 years</w:t>
            </w:r>
          </w:p>
        </w:tc>
      </w:tr>
    </w:tbl>
    <w:p>
      <w:pPr>
        <w:spacing w:after="0" w:line="202"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Costs of major additions and betterments are capitalized; maintenance and repairs, which do not improve or extend the life of the respective assets, are charged to expense as incurred. Upon retirement or sale, the cost of the disposed asset and the related accumulated depreciation are removed from the accounts and the resulting gain or loss is recognized.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29"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 xml:space="preserve">The Company periodically evaluates its long-lived assets for potential impairment in accordance with ASC Topic 360, </w:t>
      </w:r>
      <w:r>
        <w:rPr>
          <w:rFonts w:ascii="Arial" w:cs="Arial" w:eastAsia="Arial" w:hAnsi="Arial"/>
          <w:sz w:val="16"/>
          <w:szCs w:val="16"/>
          <w:i w:val="1"/>
          <w:iCs w:val="1"/>
          <w:color w:val="auto"/>
        </w:rPr>
        <w:t>Property, Plant and</w:t>
      </w:r>
      <w:r>
        <w:rPr>
          <w:rFonts w:ascii="Arial" w:cs="Arial" w:eastAsia="Arial" w:hAnsi="Arial"/>
          <w:sz w:val="16"/>
          <w:szCs w:val="16"/>
          <w:color w:val="auto"/>
        </w:rPr>
        <w:t xml:space="preserve"> </w:t>
      </w:r>
      <w:r>
        <w:rPr>
          <w:rFonts w:ascii="Arial" w:cs="Arial" w:eastAsia="Arial" w:hAnsi="Arial"/>
          <w:sz w:val="16"/>
          <w:szCs w:val="16"/>
          <w:i w:val="1"/>
          <w:iCs w:val="1"/>
          <w:color w:val="auto"/>
        </w:rPr>
        <w:t>Equipment</w:t>
      </w:r>
      <w:r>
        <w:rPr>
          <w:rFonts w:ascii="Arial" w:cs="Arial" w:eastAsia="Arial" w:hAnsi="Arial"/>
          <w:sz w:val="16"/>
          <w:szCs w:val="16"/>
          <w:color w:val="auto"/>
        </w:rPr>
        <w:t>. Potential impairment is assessed when there is evidence that events or changes in circumstances indicate that the carrying amount of an asset may</w:t>
      </w:r>
      <w:r>
        <w:rPr>
          <w:rFonts w:ascii="Arial" w:cs="Arial" w:eastAsia="Arial" w:hAnsi="Arial"/>
          <w:sz w:val="16"/>
          <w:szCs w:val="16"/>
          <w:i w:val="1"/>
          <w:iCs w:val="1"/>
          <w:color w:val="auto"/>
        </w:rPr>
        <w:t xml:space="preserve"> </w:t>
      </w:r>
      <w:r>
        <w:rPr>
          <w:rFonts w:ascii="Arial" w:cs="Arial" w:eastAsia="Arial" w:hAnsi="Arial"/>
          <w:sz w:val="16"/>
          <w:szCs w:val="16"/>
          <w:color w:val="auto"/>
        </w:rPr>
        <w:t>not be recovered. Recoverability of these assets is assessed based on undiscounted expected future cash flows from the assets, considering a number of factors, including past operating results, budgets and economic projections, market trends and product development cycles. If impairments are identified, assets are written down to their estimated fair value. The Company has not recognized any impairment through June 30, 2019.</w:t>
      </w: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688" w:right="27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340" w:firstLine="648"/>
        <w:spacing w:after="0" w:line="255" w:lineRule="auto"/>
        <w:rPr>
          <w:sz w:val="20"/>
          <w:szCs w:val="20"/>
          <w:color w:val="auto"/>
        </w:rPr>
      </w:pPr>
      <w:r>
        <w:rPr>
          <w:rFonts w:ascii="Arial" w:cs="Arial" w:eastAsia="Arial" w:hAnsi="Arial"/>
          <w:sz w:val="18"/>
          <w:szCs w:val="18"/>
          <w:color w:val="auto"/>
        </w:rPr>
        <w:t>Income taxes are recorded in accordance with ASC 740, Accounting for Income Taxes (“ASC 740”), which provides for deferred taxes using an asset and liability approach. The Company recognizes deferred tax assets and liabilities for the expected future tax consequences of events that have been included in the financial statements or tax returns. The Company determines its deferred tax assets and liabilities based on differences between financial reporting and tax bases of assets and liabilities, which are measured using the enacted tax rates and laws that will be in effect when the differences are expected to reverse. Valuation allowances are provided if based upon the weight of available evidence, it is more likely than not that some or all of the deferred tax assets will not be realized.</w:t>
      </w:r>
    </w:p>
    <w:p>
      <w:pPr>
        <w:spacing w:after="0" w:line="19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ASC 740 clarifies the accounting for uncertainty in income taxes recognized in the financial statements and provides that a tax benefit from an uncertain tax position may be recognized when it is more likely than not that the position will be sustained upon examination, including resolutions of any related appeals or litigation processes, based on the technical merits. This interpretation also provides guidance on measurement, derecognition, classification, interest and penalties, accounting in interim periods and disclosure. The Company’s policy for recording interest and penalties associated with uncertain tax positions is to record such items as a component of tax expense.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Transactions</w:t>
      </w:r>
    </w:p>
    <w:p>
      <w:pPr>
        <w:spacing w:after="0" w:line="229"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Certain transactions are denominated in a currency other than the Company’s functional currency of the U.S. dollar, and the Company generates assets and liabilities that are fixed in terms of the amount of foreign currency that will be received or paid. At each balance sheet date, the Company adjusts the assets and liabilities to reflect the current exchange rate, resulting in a translation gain or loss. Transaction gains and losses are also realized upon a settlement of a foreign currency transaction in determining net loss for the period in which the transaction is settled.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 (Loss)</w:t>
      </w:r>
    </w:p>
    <w:p>
      <w:pPr>
        <w:spacing w:after="0" w:line="229"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 xml:space="preserve">ASC Topic 220, </w:t>
      </w:r>
      <w:r>
        <w:rPr>
          <w:rFonts w:ascii="Arial" w:cs="Arial" w:eastAsia="Arial" w:hAnsi="Arial"/>
          <w:sz w:val="18"/>
          <w:szCs w:val="18"/>
          <w:i w:val="1"/>
          <w:iCs w:val="1"/>
          <w:color w:val="auto"/>
        </w:rPr>
        <w:t>Comprehensive Income</w:t>
      </w:r>
      <w:r>
        <w:rPr>
          <w:rFonts w:ascii="Arial" w:cs="Arial" w:eastAsia="Arial" w:hAnsi="Arial"/>
          <w:sz w:val="18"/>
          <w:szCs w:val="18"/>
          <w:color w:val="auto"/>
        </w:rPr>
        <w:t>, requires that all components of comprehensive income (loss), including net income (loss), be reported in the financial statements in the period in which they are recognized. Comprehensive income (loss) is defined as the change in equity during a period from transactions and other events and circumstances from non-owner sources, including unrealized gains and losses on investments and foreign currency translation adjustments.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and Geographic Information</w:t>
      </w:r>
    </w:p>
    <w:p>
      <w:pPr>
        <w:spacing w:after="0" w:line="229"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Operating segments are identified as components of an enterprise about which separate discrete financial information is available for evaluation by the chief operating decision maker, or decision making group, in making decisions on how to allocate resources and assess performance. The Company’s chief operating decision maker is the Chief Executive Officer. The Company and the chief operating decision maker view the Company’s operations and manage its business as one operating segment. Substantially all of the Company’s operations are in the U.S. geographic segment.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229" w:lineRule="exact"/>
        <w:rPr>
          <w:sz w:val="20"/>
          <w:szCs w:val="20"/>
          <w:color w:val="auto"/>
        </w:rPr>
      </w:pPr>
    </w:p>
    <w:p>
      <w:pPr>
        <w:jc w:val="both"/>
        <w:ind w:right="340" w:firstLine="648"/>
        <w:spacing w:after="0" w:line="312" w:lineRule="auto"/>
        <w:rPr>
          <w:sz w:val="20"/>
          <w:szCs w:val="20"/>
          <w:color w:val="auto"/>
        </w:rPr>
      </w:pPr>
      <w:r>
        <w:rPr>
          <w:rFonts w:ascii="Arial" w:cs="Arial" w:eastAsia="Arial" w:hAnsi="Arial"/>
          <w:sz w:val="16"/>
          <w:szCs w:val="16"/>
          <w:color w:val="auto"/>
        </w:rPr>
        <w:t>Net loss per share (“EPS”) is computed by dividing net loss by the weighted average number of common shares outstanding during each period. Diluted EPS is computed by dividing net loss by the weighted average number of common shares and common share equivalents outstanding (if dilutive) during each period. The number of common share equivalents, which include stock options, is computed using the treasury stock method.</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The Company considered events or transactions occurring after the balance sheet date but prior to the date the consolidated financial statements are available to be issued for potential recognition or disclosure in its consolidated financial statements. We have evaluated subsequent events through the date of filing this Form 10-Q.</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Issued Accounting Pronouncements</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In February 2016, the FASB established Topic 842, Leases, by issuing Accounting Standards Update (ASU) No. 2016-02, which supersedes ASC 840, Leases, and requires lessees to recognize leases on-balance sheet and disclose key information about leasing arrangements. Topic 842 was subsequently amended by ASU No. 2018-01, Land Easement Practical Expedient for Transition to Topic 842; ASU No. 2018-10, Codification Improvements to Topic 842, Leases; and ASU No. 2018-11, Targeted Improvements. Topic 842, as amended (the "new lease standard") establishes a right-of-use model (ROU) that requires a lessee to recognize a ROU asset and lease liability on the balance sheet for all leases with a term longer than 12 months. Leases will be classified as finance or operating, with classification affecting the pattern and classification of expense recognition in the income statement. The effective date of the new guidance is for the Company’s first quarter of fiscal year 2019. The FASB has approved an optional, alternative method to adopt the lease standard by recognizing a cumulative-effect adjustment to the opening balance of retained earnings in the period of adoption. The Company adopted the new standard effective January 1, 2019, using the alternative method. The Company does not have a cumulative adjustment impacting retained earnings. Adoption of the lease standard does not have a material impact on the Company’s consolidated financial statements.</w:t>
      </w:r>
    </w:p>
    <w:p>
      <w:pPr>
        <w:spacing w:after="0" w:line="16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In June 2016, the FASB issued ASU No. 2016-13, Financial Instruments—Credit Losses (Topic 326): Measurement of Credit Losses on Financial Instruments. This ASU requires instruments measured at amortized cost to be presented at the net amount expected to be collected. Entities are also required to record allowances for available-for-sale debt securities rather than reduce the carrying amount. This ASU is effective for fiscal years beginning after December 15, 2019, including interim periods within those fiscal years. The Company expects that the adoption will not have a material impact on its consolidated financial statements.</w:t>
      </w:r>
    </w:p>
    <w:p>
      <w:pPr>
        <w:spacing w:after="0" w:line="184"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consisted of the following as of June 30, 2019 and December 31, 2018 (in thousands):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June 30, 2019</w:t>
            </w:r>
          </w:p>
        </w:tc>
        <w:tc>
          <w:tcPr>
            <w:tcW w:w="3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Manufacturing equipment</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4,213</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4,937</w:t>
            </w: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Winnebago building</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19,676</w:t>
            </w: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19,945</w:t>
            </w:r>
          </w:p>
        </w:tc>
      </w:tr>
      <w:tr>
        <w:trPr>
          <w:trHeight w:val="230"/>
        </w:trPr>
        <w:tc>
          <w:tcPr>
            <w:tcW w:w="20" w:type="dxa"/>
            <w:vAlign w:val="bottom"/>
          </w:tcPr>
          <w:p>
            <w:pPr>
              <w:spacing w:after="0"/>
              <w:rPr>
                <w:sz w:val="19"/>
                <w:szCs w:val="19"/>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Other fixed assets</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2,387</w:t>
            </w:r>
          </w:p>
        </w:tc>
        <w:tc>
          <w:tcPr>
            <w:tcW w:w="3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2,447</w:t>
            </w:r>
          </w:p>
        </w:tc>
      </w:tr>
      <w:tr>
        <w:trPr>
          <w:trHeight w:val="250"/>
        </w:trPr>
        <w:tc>
          <w:tcPr>
            <w:tcW w:w="5960" w:type="dxa"/>
            <w:vAlign w:val="bottom"/>
            <w:gridSpan w:val="2"/>
          </w:tcPr>
          <w:p>
            <w:pPr>
              <w:spacing w:after="0"/>
              <w:rPr>
                <w:sz w:val="20"/>
                <w:szCs w:val="20"/>
                <w:color w:val="auto"/>
              </w:rPr>
            </w:pPr>
            <w:r>
              <w:rPr>
                <w:rFonts w:ascii="Arial" w:cs="Arial" w:eastAsia="Arial" w:hAnsi="Arial"/>
                <w:sz w:val="18"/>
                <w:szCs w:val="18"/>
                <w:color w:val="auto"/>
              </w:rPr>
              <w:t>Total property and equipment</w:t>
            </w: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26,276</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27,329</w:t>
            </w: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4.</w:t>
        <w:tab/>
        <w:t>Common Stock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Pursuant to its Articles, the Company has an unlimited number of shares available for issuance with no par value.</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From January through December 2018, 161 thousand shares of common stock were issued upon the exercise of stock options at a price of $2.50 per share for a total of $401 thousand, of which $200 thousand was subscription receivables.</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16" w:name="page17"/>
    <w:bookmarkEnd w:id="16"/>
    <w:p>
      <w:pPr>
        <w:ind w:right="140" w:firstLine="648"/>
        <w:spacing w:after="0" w:line="277" w:lineRule="auto"/>
        <w:rPr>
          <w:sz w:val="20"/>
          <w:szCs w:val="20"/>
          <w:color w:val="auto"/>
        </w:rPr>
      </w:pPr>
      <w:r>
        <w:rPr>
          <w:rFonts w:ascii="Arial" w:cs="Arial" w:eastAsia="Arial" w:hAnsi="Arial"/>
          <w:sz w:val="18"/>
          <w:szCs w:val="18"/>
          <w:color w:val="auto"/>
        </w:rPr>
        <w:t>From January through June 2019, 255 thousand shares of common stock were issued upon the exercise of stock options at a price between $2.50 to $10.00 per share for a total of $939 thousand.</w:t>
      </w:r>
    </w:p>
    <w:p>
      <w:pPr>
        <w:spacing w:after="0" w:line="170"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During June 2019, under the Common Shares Purchase Agreement with Piper Jaffray &amp; Co., the Company sold 4.8 million shares of common stock at a price $8.25 per share for total net proceeds of $37.5 million, including the capitalized underwriter’s commission of $2.3 million and other related fees of $0.2 million.</w:t>
      </w:r>
    </w:p>
    <w:p>
      <w:pPr>
        <w:spacing w:after="0" w:line="177"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 Options</w:t>
      </w:r>
    </w:p>
    <w:p>
      <w:pPr>
        <w:spacing w:after="0" w:line="229"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On November 11, 2005 and April 1, 2015, the board of directors of the Company adopted stock option plans (“the Plans”) pursuant to which the Company may grant incentive stock options to directors, officers, employees or consultants of the Company or an affiliate or other persons as the Compensation Committee may approve.</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All options will be non-transferable and may be exercised only by the participant, or in the event of the death of the participant, a legal representative until the earlier of the options’ expiry date or the first anniversary of the participant’s death, or such other date as may be specified by the Compensation Committee.</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term of the options is at the discretion of the Compensation Committee, but may not exceed 10 years from the grant date. The options expire on the earlier of the expiration date or the date three months following the day on which the participant ceases to be an officer or employee of or consultant to the Company, or in the event of the termination of the participant with cause, the date of such termination. Options held by non-employee Directors have an exercise period coterminous with the term of the options.</w:t>
      </w:r>
    </w:p>
    <w:p>
      <w:pPr>
        <w:spacing w:after="0" w:line="187"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The number of common shares reserved for issuance to any one person pursuant to the Plans shall not, in aggregate, exceed 5% of the total number of outstanding common shares. The exercise price per common share under each option will be the fair market value of such shares at the time of the grant. Upon stock option exercise, the Company issues new shares of common stock.</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changes in common stock options issued under the Plans is as follows: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8"/>
                <w:szCs w:val="18"/>
                <w:b w:val="1"/>
                <w:bCs w:val="1"/>
                <w:color w:val="auto"/>
              </w:rPr>
              <w:t>Weighted-</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8"/>
                <w:szCs w:val="18"/>
                <w:b w:val="1"/>
                <w:bCs w:val="1"/>
                <w:color w:val="auto"/>
              </w:rPr>
              <w:t>Average</w:t>
            </w:r>
          </w:p>
        </w:tc>
      </w:tr>
      <w:tr>
        <w:trPr>
          <w:trHeight w:val="234"/>
        </w:trPr>
        <w:tc>
          <w:tcPr>
            <w:tcW w:w="20" w:type="dxa"/>
            <w:vAlign w:val="bottom"/>
          </w:tcPr>
          <w:p>
            <w:pPr>
              <w:spacing w:after="0"/>
              <w:rPr>
                <w:sz w:val="20"/>
                <w:szCs w:val="20"/>
                <w:color w:val="auto"/>
              </w:rPr>
            </w:pPr>
          </w:p>
        </w:tc>
        <w:tc>
          <w:tcPr>
            <w:tcW w:w="458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w w:val="99"/>
              </w:rPr>
              <w:t>Options</w:t>
            </w:r>
          </w:p>
        </w:tc>
        <w:tc>
          <w:tcPr>
            <w:tcW w:w="1760" w:type="dxa"/>
            <w:vAlign w:val="bottom"/>
            <w:tcBorders>
              <w:bottom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Exercise Price</w:t>
            </w: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Exercise Price</w:t>
            </w: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December 31, 2018</w:t>
            </w:r>
          </w:p>
        </w:tc>
        <w:tc>
          <w:tcPr>
            <w:tcW w:w="1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5,535,439</w:t>
            </w:r>
          </w:p>
        </w:tc>
        <w:tc>
          <w:tcPr>
            <w:tcW w:w="76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1"/>
              </w:rPr>
              <w:t>$2.5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$21.99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w:t>
            </w:r>
          </w:p>
        </w:tc>
      </w:tr>
      <w:tr>
        <w:trPr>
          <w:trHeight w:val="216"/>
        </w:trPr>
        <w:tc>
          <w:tcPr>
            <w:tcW w:w="20" w:type="dxa"/>
            <w:vAlign w:val="bottom"/>
          </w:tcPr>
          <w:p>
            <w:pPr>
              <w:spacing w:after="0"/>
              <w:rPr>
                <w:sz w:val="18"/>
                <w:szCs w:val="18"/>
                <w:color w:val="auto"/>
              </w:rPr>
            </w:pPr>
          </w:p>
        </w:tc>
        <w:tc>
          <w:tcPr>
            <w:tcW w:w="4580" w:type="dxa"/>
            <w:vAlign w:val="bottom"/>
          </w:tcPr>
          <w:p>
            <w:pPr>
              <w:ind w:left="160"/>
              <w:spacing w:after="0"/>
              <w:rPr>
                <w:sz w:val="20"/>
                <w:szCs w:val="20"/>
                <w:color w:val="auto"/>
              </w:rPr>
            </w:pPr>
            <w:r>
              <w:rPr>
                <w:rFonts w:ascii="Arial" w:cs="Arial" w:eastAsia="Arial" w:hAnsi="Arial"/>
                <w:sz w:val="18"/>
                <w:szCs w:val="18"/>
                <w:color w:val="auto"/>
              </w:rPr>
              <w:t>Granted</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693,500</w:t>
            </w:r>
          </w:p>
        </w:tc>
        <w:tc>
          <w:tcPr>
            <w:tcW w:w="760" w:type="dxa"/>
            <w:vAlign w:val="bottom"/>
          </w:tcPr>
          <w:p>
            <w:pPr>
              <w:jc w:val="center"/>
              <w:ind w:left="110"/>
              <w:spacing w:after="0"/>
              <w:rPr>
                <w:sz w:val="20"/>
                <w:szCs w:val="20"/>
                <w:color w:val="auto"/>
              </w:rPr>
            </w:pPr>
            <w:r>
              <w:rPr>
                <w:rFonts w:ascii="Arial" w:cs="Arial" w:eastAsia="Arial" w:hAnsi="Arial"/>
                <w:sz w:val="18"/>
                <w:szCs w:val="18"/>
                <w:color w:val="auto"/>
                <w:w w:val="91"/>
              </w:rPr>
              <w:t>4.95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10.00</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7.18</w:t>
            </w: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(256,528)</w:t>
            </w:r>
          </w:p>
        </w:tc>
        <w:tc>
          <w:tcPr>
            <w:tcW w:w="76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5"/>
              </w:rPr>
              <w:t>2.5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r>
      <w:tr>
        <w:trPr>
          <w:trHeight w:val="230"/>
        </w:trPr>
        <w:tc>
          <w:tcPr>
            <w:tcW w:w="20" w:type="dxa"/>
            <w:vAlign w:val="bottom"/>
          </w:tcPr>
          <w:p>
            <w:pPr>
              <w:spacing w:after="0"/>
              <w:rPr>
                <w:sz w:val="19"/>
                <w:szCs w:val="19"/>
                <w:color w:val="auto"/>
              </w:rPr>
            </w:pPr>
          </w:p>
        </w:tc>
        <w:tc>
          <w:tcPr>
            <w:tcW w:w="45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Forfeitures</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(168,584)</w:t>
            </w:r>
          </w:p>
        </w:tc>
        <w:tc>
          <w:tcPr>
            <w:tcW w:w="76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91"/>
              </w:rPr>
              <w:t>4.14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15</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w:t>
            </w:r>
          </w:p>
        </w:tc>
      </w:tr>
      <w:tr>
        <w:trPr>
          <w:trHeight w:val="250"/>
        </w:trPr>
        <w:tc>
          <w:tcPr>
            <w:tcW w:w="20" w:type="dxa"/>
            <w:vAlign w:val="bottom"/>
          </w:tcPr>
          <w:p>
            <w:pPr>
              <w:spacing w:after="0"/>
              <w:rPr>
                <w:sz w:val="21"/>
                <w:szCs w:val="21"/>
                <w:color w:val="auto"/>
              </w:rPr>
            </w:pPr>
          </w:p>
        </w:tc>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June 30, 2019</w:t>
            </w:r>
          </w:p>
        </w:tc>
        <w:tc>
          <w:tcPr>
            <w:tcW w:w="1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5,803,827</w:t>
            </w:r>
          </w:p>
        </w:tc>
        <w:tc>
          <w:tcPr>
            <w:tcW w:w="760" w:type="dxa"/>
            <w:vAlign w:val="bottom"/>
            <w:tcBorders>
              <w:bottom w:val="single" w:sz="8" w:color="auto"/>
            </w:tcBorders>
            <w:shd w:val="clear" w:color="auto" w:fill="CCEEFF"/>
          </w:tcPr>
          <w:p>
            <w:pPr>
              <w:jc w:val="center"/>
              <w:ind w:left="110"/>
              <w:spacing w:after="0"/>
              <w:rPr>
                <w:sz w:val="20"/>
                <w:szCs w:val="20"/>
                <w:color w:val="auto"/>
              </w:rPr>
            </w:pPr>
            <w:r>
              <w:rPr>
                <w:rFonts w:ascii="Arial" w:cs="Arial" w:eastAsia="Arial" w:hAnsi="Arial"/>
                <w:sz w:val="18"/>
                <w:szCs w:val="18"/>
                <w:color w:val="auto"/>
                <w:w w:val="91"/>
              </w:rPr>
              <w:t>$2.5</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$21.99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w:t>
            </w: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As of June 30, 2019, there was approximately $4.9 million of unrecognized compensation cost, related to stock options granted under the Plans which will be amortized to stock compensation expense over the next 1.56 years.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0" w:firstLine="441"/>
        <w:spacing w:after="0" w:line="302" w:lineRule="auto"/>
        <w:rPr>
          <w:sz w:val="20"/>
          <w:szCs w:val="20"/>
          <w:color w:val="auto"/>
        </w:rPr>
      </w:pPr>
      <w:r>
        <w:rPr>
          <w:rFonts w:ascii="Arial" w:cs="Arial" w:eastAsia="Arial" w:hAnsi="Arial"/>
          <w:sz w:val="16"/>
          <w:szCs w:val="16"/>
          <w:color w:val="auto"/>
        </w:rPr>
        <w:t>XBiotech Inc. (“XBiotech” or the “Company) is a pre-market biopharmaceutical company engaged in discovering and developing True Human™ monoclonal antibodies for treating a variety of diseases. True Human™ monoclonal antibodies are those which occur naturally in human beings—as opposed to being derived from animal immunization or otherwise engineered. We believe that naturally occurring monoclonal antibodies have the potential to be safer and more effective than their non-naturally occurring counterparts. XBiotech is focused on developing its True Human™ pipeline and manufacturing system.</w:t>
      </w:r>
    </w:p>
    <w:p>
      <w:pPr>
        <w:spacing w:after="0" w:line="154" w:lineRule="exact"/>
        <w:rPr>
          <w:sz w:val="20"/>
          <w:szCs w:val="20"/>
          <w:color w:val="auto"/>
        </w:rPr>
      </w:pPr>
    </w:p>
    <w:p>
      <w:pPr>
        <w:ind w:right="20" w:firstLine="441"/>
        <w:spacing w:after="0" w:line="293" w:lineRule="auto"/>
        <w:rPr>
          <w:sz w:val="20"/>
          <w:szCs w:val="20"/>
          <w:color w:val="auto"/>
        </w:rPr>
      </w:pPr>
      <w:r>
        <w:rPr>
          <w:rFonts w:ascii="Arial" w:cs="Arial" w:eastAsia="Arial" w:hAnsi="Arial"/>
          <w:sz w:val="16"/>
          <w:szCs w:val="16"/>
          <w:color w:val="auto"/>
        </w:rPr>
        <w:t>We have never been profitable and, as of June 30, 2019, we had an accumulated deficit of $249.4 million. We had net losses of $5.9 million and $11.7 million for the three months and six months ended June 30, 2019, respectively, compared to $5.9 million and $10.0 million for the three months and six months ended June 30, 2018, respectively. We expect to incur significant and increasing operating losses for the foreseeable future as we advance our drug candidates from discovery through preclinical testing and clinical trials and seek regulatory approval and eventual commercialization. In addition to these increasing research and development expenses, we expect general and administrative costs to increase as we add personnel and continue to operate as a public company. We will need to generate significant revenues to achieve profitability, and we may never do so. As of June 30, 2019, we had 59 employees.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Events:</w:t>
      </w:r>
    </w:p>
    <w:p>
      <w:pPr>
        <w:spacing w:after="0" w:line="229"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 Company has recently launched initatives to begin two randomized, double blind, placebo-controlled, multi-center phase 2 studies evaluating bermekimab subcutaneous formulation in adults with moderate to severe Hidradenitis Suppurativa (HS) and Atopic Dermatitis (AD). Dr. Alice Gottlieb will Chair the HS study, while Dr. Seth Forman will Chair the AD study. This follows the completion of two open label, multi center phase 2 dermatology studies evaluating bermekimab as a treatment for HS and AD. The Company announced positive findings from these studies, both of which were presented at the American Academy of Dermatology’s Annual Meeting in March 2019. The Company plans to enroll the first patients in each study by end of 2019. The Company also announced enrollment completion and positive interim findings for an investigator sponsored study evaluating bermekimab in patients with advanced pancreatic adenocarcinoma and cachexia. The study is being conducted and led by principal investigator Andrew Hendifar, M.D., Medical Oncology lead for the Gastrointestinal Disease Research Group and Co-Director of Pancreas Oncology at Cedars-Sinai Medical Center. Data analysis for this study and future development plans in this indication are on-going. Funding has been awarded by the Medical Research Council (MRC) which promotes research and innovation in the UK, to evaluate bermekimab therapy in a phase 2, multi-center study in advanced lung, pancreatic and ovarian cancers. The phase 2 study will be conducted at multiple cancer centers across the UK. Patients will receive eight weekly doses of bermekimab and be assessed for tumor-related wasting and other quality of life symptoms (using the EORTC QLQ-C30). The study will be led by Dr. Barry Laird, M.D., of the University of Edinburgh. In June the Company closed a public offering of its common shares and successfully raised gross proceeds of approximately $40 million for future development. Piper Jaffray acted as sole underwriter in the offering. In July the Company announced that it added renowned cardiologist and researcher, Dr. Peter Libby, to its Corporate Board of Directors.</w:t>
      </w:r>
    </w:p>
    <w:p>
      <w:pPr>
        <w:spacing w:after="0" w:line="183" w:lineRule="exact"/>
        <w:rPr>
          <w:sz w:val="20"/>
          <w:szCs w:val="20"/>
          <w:color w:val="auto"/>
        </w:rPr>
      </w:pPr>
    </w:p>
    <w:p>
      <w:pPr>
        <w:ind w:right="740" w:firstLine="648"/>
        <w:spacing w:after="0" w:line="308" w:lineRule="auto"/>
        <w:rPr>
          <w:sz w:val="20"/>
          <w:szCs w:val="20"/>
          <w:color w:val="auto"/>
        </w:rPr>
      </w:pPr>
      <w:r>
        <w:rPr>
          <w:rFonts w:ascii="Arial" w:cs="Arial" w:eastAsia="Arial" w:hAnsi="Arial"/>
          <w:sz w:val="17"/>
          <w:szCs w:val="17"/>
          <w:color w:val="auto"/>
        </w:rPr>
        <w:t>XBiotech plans to continue the development of its clinical pipeline along with research and development efforts to enable selection of drug candidates and research projects for further development in response to their preclinical and clinical success and commercial potential.</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Risks</w:t>
      </w:r>
    </w:p>
    <w:p>
      <w:pPr>
        <w:spacing w:after="0" w:line="225" w:lineRule="exact"/>
        <w:rPr>
          <w:sz w:val="20"/>
          <w:szCs w:val="20"/>
          <w:color w:val="auto"/>
        </w:rPr>
      </w:pPr>
    </w:p>
    <w:p>
      <w:pPr>
        <w:ind w:right="140" w:firstLine="648"/>
        <w:spacing w:after="0" w:line="289" w:lineRule="auto"/>
        <w:rPr>
          <w:sz w:val="20"/>
          <w:szCs w:val="20"/>
          <w:color w:val="auto"/>
        </w:rPr>
      </w:pPr>
      <w:r>
        <w:rPr>
          <w:rFonts w:ascii="Arial" w:cs="Arial" w:eastAsia="Arial" w:hAnsi="Arial"/>
          <w:sz w:val="16"/>
          <w:szCs w:val="16"/>
          <w:color w:val="auto"/>
        </w:rPr>
        <w:t>The Company continues to be subject to a number of risks common to companies in similar stages of development. Principal among these risks are the uncertainties of technological innovations, dependence on key individuals, development of the same or similar technological innovations by the Company’s competitors and protection of proprietary technology. The Company’s ability to fund its planned clinical operations, including completion of its planned clinical trials, is expected to depend on the amount and timing of cash receipts from future collaboration or product sales and/or financing transactions. The Company believes that its cash and cash equivalents of $44.9 million at June 30, 2019 will enable the Company to achieve some key inflection points, including clinical studies in certain indication(s), as well as on-going R&amp;D efforts for the Company’s pre-clinical pipeline. Based on our research and development plans and our timing expectations related to the progress of our programs, we expect that our cash and cash equivalents as of June 30, 2019 will enable us to fund our operating expenses and capital expenditure requirements through June 30, 2020. We have based this estimate on assumptions that may prove to be inaccurate, and we could utilize our available capital resources sooner than we currently expect.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ind w:right="860" w:firstLine="648"/>
        <w:spacing w:after="0" w:line="308" w:lineRule="auto"/>
        <w:rPr>
          <w:sz w:val="20"/>
          <w:szCs w:val="20"/>
          <w:color w:val="auto"/>
        </w:rPr>
      </w:pPr>
      <w:r>
        <w:rPr>
          <w:rFonts w:ascii="Arial" w:cs="Arial" w:eastAsia="Arial" w:hAnsi="Arial"/>
          <w:sz w:val="17"/>
          <w:szCs w:val="17"/>
          <w:color w:val="auto"/>
        </w:rPr>
        <w:t>To date, we have not generated any revenue. Our ability to generate revenue and become profitable depends on our ability to successfully commercialize our lead product candidate, bermekimab, or any other product candidate we may advance in the future.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Research and development expense consists of expenses incurred in connection with identifying and developing our drug candidates. These expenses consist primarily of salaries and related expenses, share-based compensation, the purchase of equipment, laboratory and manufacturing supplies, facility costs, costs for preclinical and clinical research, development of quality control systems, quality assurance programs and manufacturing processes. We charge all research and development expenses to operations as incurred.</w:t>
      </w:r>
    </w:p>
    <w:p>
      <w:pPr>
        <w:spacing w:after="0" w:line="187"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Clinical development timelines, likelihood of success and total costs vary widely. We do not currently track our internal research and development costs or our personnel and related costs on an individual drug candidate basis. We use our research and development resources, including employees and our drug discovery technology, across multiple drug development programs. As a result, we cannot state precisely the costs incurred for each of our research and development programs or our clinical and preclinical drug candidates. From inception through June 30, 2019, we have recorded total research and development expenses, including share-based compensation, of $194.9 million. Our total research and development expenses for the three months and six months ended June 30, 2019 were $4.7 million and $9.2 million, respectively, compared to $3.9 million and $6.9 million for the three months and six months ended June 30, 2018, respectively. Share-based compensation accounted for $0.3 million and $0.6 million for the three months and six months ended June 30, 2019, respectively, compared to $0.2 million and $0.3 million for the three months and six months ended June 30, 2018, respectively.</w:t>
      </w:r>
    </w:p>
    <w:p>
      <w:pPr>
        <w:spacing w:after="0" w:line="16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Research and development expenses, as a percentage of total operating expenses for the three months and six months ended June 30, 2019 were both 78%, compared to 70% and 71% for the three months and six months ended June 30, 2018, respectively. The percentages, </w:t>
      </w:r>
      <w:r>
        <w:rPr>
          <w:rFonts w:ascii="Arial" w:cs="Arial" w:eastAsia="Arial" w:hAnsi="Arial"/>
          <w:sz w:val="18"/>
          <w:szCs w:val="18"/>
          <w:i w:val="1"/>
          <w:iCs w:val="1"/>
          <w:color w:val="auto"/>
        </w:rPr>
        <w:t>excluding</w:t>
      </w:r>
      <w:r>
        <w:rPr>
          <w:rFonts w:ascii="Arial" w:cs="Arial" w:eastAsia="Arial" w:hAnsi="Arial"/>
          <w:sz w:val="18"/>
          <w:szCs w:val="18"/>
          <w:color w:val="auto"/>
        </w:rPr>
        <w:t xml:space="preserve"> share-based compensation, for the three months and six months ended June 30, 2019 were both 80%, compared to 76% and 74% for the three months and six months ended June 30, 2018, respectively.</w:t>
      </w:r>
    </w:p>
    <w:p>
      <w:pPr>
        <w:spacing w:after="0" w:line="18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clinical development costs may further increase going forward with potentially more advanced studies in the future as we evaluate our clinical data and pipeline.</w:t>
      </w:r>
    </w:p>
    <w:p>
      <w:pPr>
        <w:spacing w:after="0" w:line="170"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Based on the results of our preclinical studies, we anticipate that we will select drug candidates and research projects for further development on an ongoing basis in response to their preclinical and clinical success and commercial potential. For research and development candidates in early stages of development, it is premature to estimate when material net cash inflows from these projects might occur.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229" w:lineRule="exact"/>
        <w:rPr>
          <w:sz w:val="20"/>
          <w:szCs w:val="20"/>
          <w:color w:val="auto"/>
        </w:rPr>
      </w:pPr>
    </w:p>
    <w:p>
      <w:pPr>
        <w:ind w:right="20" w:firstLine="441"/>
        <w:spacing w:after="0" w:line="293" w:lineRule="auto"/>
        <w:rPr>
          <w:sz w:val="20"/>
          <w:szCs w:val="20"/>
          <w:color w:val="auto"/>
        </w:rPr>
      </w:pPr>
      <w:r>
        <w:rPr>
          <w:rFonts w:ascii="Arial" w:cs="Arial" w:eastAsia="Arial" w:hAnsi="Arial"/>
          <w:sz w:val="16"/>
          <w:szCs w:val="16"/>
          <w:color w:val="auto"/>
        </w:rPr>
        <w:t>General and administrative expense consists primarily of salaries and related expenses for personnel in administrative, finance, business development and human resource functions, as well as the legal costs of pursuing patent protection of our intellectual property and patent filing and maintenance expenses, stock–based compensation, and professional fees for legal services. Our total general and administration expenses for the three months and six months ended June 30, 2019 were $1.3 million and $2.6 million, respectively, compared to $1.7 million and $2.8 million for the three months and six months ended June 30, 2018, respectively. Share-based compensation accounted for $0.2 million and $0.5 million for the three months and six months ended June 30, 2019, respectively, compared to $0.5 million and $0.5 million for the three months and six months ended June 30, 2018, respectively.</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9" w:name="page20"/>
    <w:bookmarkEnd w:id="19"/>
    <w:p>
      <w:pPr>
        <w:ind w:right="40" w:firstLine="648"/>
        <w:spacing w:after="0" w:line="259" w:lineRule="auto"/>
        <w:rPr>
          <w:sz w:val="20"/>
          <w:szCs w:val="20"/>
          <w:color w:val="auto"/>
        </w:rPr>
      </w:pPr>
      <w:r>
        <w:rPr>
          <w:rFonts w:ascii="Arial" w:cs="Arial" w:eastAsia="Arial" w:hAnsi="Arial"/>
          <w:sz w:val="18"/>
          <w:szCs w:val="18"/>
          <w:color w:val="auto"/>
        </w:rPr>
        <w:t xml:space="preserve">General and administrative expenses, as a percentage of total operating expenses for the three months and six months ended June 30, 2019 were both 22%, compared to 30% and 29% for the three months and six months ended June 30, 2018, respectively. The percentages, </w:t>
      </w:r>
      <w:r>
        <w:rPr>
          <w:rFonts w:ascii="Arial" w:cs="Arial" w:eastAsia="Arial" w:hAnsi="Arial"/>
          <w:sz w:val="18"/>
          <w:szCs w:val="18"/>
          <w:i w:val="1"/>
          <w:iCs w:val="1"/>
          <w:color w:val="auto"/>
        </w:rPr>
        <w:t>excluding</w:t>
      </w:r>
      <w:r>
        <w:rPr>
          <w:rFonts w:ascii="Arial" w:cs="Arial" w:eastAsia="Arial" w:hAnsi="Arial"/>
          <w:sz w:val="18"/>
          <w:szCs w:val="18"/>
          <w:color w:val="auto"/>
        </w:rPr>
        <w:t xml:space="preserve"> share-based compensation, for the three months and six months ended June 30, 2019 were both 20%, compared to 24% and 26% for the three months and six months ended June 30, 2018,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us to make judgments, estimates and assumptions in the preparation of our consolidated financial statements and accompanying notes. Actual results could differ from those estimates. We believe there have been no significant changes in our critical accounting policies as discussed in our Annual Report on Form 10-K for the year ended December 31,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did not record any revenue during the three months and six months ended June 30, 2019 and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Research and Development costs are summarized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6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w w:val="94"/>
              </w:rPr>
              <w:t>Three Months Ended June 30,</w:t>
            </w:r>
          </w:p>
        </w:tc>
        <w:tc>
          <w:tcPr>
            <w:tcW w:w="220" w:type="dxa"/>
            <w:vAlign w:val="bottom"/>
          </w:tcPr>
          <w:p>
            <w:pPr>
              <w:spacing w:after="0"/>
              <w:rPr>
                <w:sz w:val="19"/>
                <w:szCs w:val="19"/>
                <w:color w:val="auto"/>
              </w:rPr>
            </w:pPr>
          </w:p>
        </w:tc>
        <w:tc>
          <w:tcPr>
            <w:tcW w:w="1340" w:type="dxa"/>
            <w:vAlign w:val="bottom"/>
          </w:tcPr>
          <w:p>
            <w:pPr>
              <w:spacing w:after="0"/>
              <w:rPr>
                <w:sz w:val="20"/>
                <w:szCs w:val="20"/>
                <w:color w:val="auto"/>
              </w:rPr>
            </w:pPr>
            <w:r>
              <w:rPr>
                <w:rFonts w:ascii="Arial" w:cs="Arial" w:eastAsia="Arial" w:hAnsi="Arial"/>
                <w:sz w:val="18"/>
                <w:szCs w:val="18"/>
                <w:b w:val="1"/>
                <w:bCs w:val="1"/>
                <w:color w:val="auto"/>
              </w:rPr>
              <w:t>Increase</w:t>
            </w:r>
          </w:p>
        </w:tc>
        <w:tc>
          <w:tcPr>
            <w:tcW w:w="1420" w:type="dxa"/>
            <w:vAlign w:val="bottom"/>
          </w:tcPr>
          <w:p>
            <w:pPr>
              <w:ind w:left="120"/>
              <w:spacing w:after="0"/>
              <w:rPr>
                <w:sz w:val="20"/>
                <w:szCs w:val="20"/>
                <w:color w:val="auto"/>
              </w:rPr>
            </w:pPr>
            <w:r>
              <w:rPr>
                <w:rFonts w:ascii="Arial" w:cs="Arial" w:eastAsia="Arial" w:hAnsi="Arial"/>
                <w:sz w:val="18"/>
                <w:szCs w:val="18"/>
                <w:b w:val="1"/>
                <w:bCs w:val="1"/>
                <w:color w:val="auto"/>
              </w:rPr>
              <w:t>% Increase</w:t>
            </w:r>
          </w:p>
        </w:tc>
      </w:tr>
      <w:tr>
        <w:trPr>
          <w:trHeight w:val="234"/>
        </w:trPr>
        <w:tc>
          <w:tcPr>
            <w:tcW w:w="56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(Decrease)</w:t>
            </w:r>
          </w:p>
        </w:tc>
        <w:tc>
          <w:tcPr>
            <w:tcW w:w="14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(Decrease)</w:t>
            </w: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Salaries and related expenses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1,183</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163</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Laboratory and manufacturing supplies</w:t>
            </w:r>
          </w:p>
        </w:tc>
        <w:tc>
          <w:tcPr>
            <w:tcW w:w="16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1,344</w:t>
            </w:r>
          </w:p>
        </w:tc>
        <w:tc>
          <w:tcPr>
            <w:tcW w:w="4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424</w:t>
            </w:r>
          </w:p>
        </w:tc>
        <w:tc>
          <w:tcPr>
            <w:tcW w:w="220" w:type="dxa"/>
            <w:vAlign w:val="bottom"/>
          </w:tcPr>
          <w:p>
            <w:pPr>
              <w:spacing w:after="0"/>
              <w:rPr>
                <w:sz w:val="18"/>
                <w:szCs w:val="18"/>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920</w:t>
            </w:r>
          </w:p>
        </w:tc>
        <w:tc>
          <w:tcPr>
            <w:tcW w:w="1420" w:type="dxa"/>
            <w:vAlign w:val="bottom"/>
          </w:tcPr>
          <w:p>
            <w:pPr>
              <w:jc w:val="right"/>
              <w:spacing w:after="0"/>
              <w:rPr>
                <w:sz w:val="20"/>
                <w:szCs w:val="20"/>
                <w:color w:val="auto"/>
              </w:rPr>
            </w:pPr>
            <w:r>
              <w:rPr>
                <w:rFonts w:ascii="Arial" w:cs="Arial" w:eastAsia="Arial" w:hAnsi="Arial"/>
                <w:sz w:val="18"/>
                <w:szCs w:val="18"/>
                <w:color w:val="auto"/>
              </w:rPr>
              <w:t>217%</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Clinical trials and sponsored research</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241</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586</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(345)</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6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291</w:t>
            </w:r>
          </w:p>
        </w:tc>
        <w:tc>
          <w:tcPr>
            <w:tcW w:w="4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162</w:t>
            </w:r>
          </w:p>
        </w:tc>
        <w:tc>
          <w:tcPr>
            <w:tcW w:w="220" w:type="dxa"/>
            <w:vAlign w:val="bottom"/>
          </w:tcPr>
          <w:p>
            <w:pPr>
              <w:spacing w:after="0"/>
              <w:rPr>
                <w:sz w:val="18"/>
                <w:szCs w:val="18"/>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129</w:t>
            </w:r>
          </w:p>
        </w:tc>
        <w:tc>
          <w:tcPr>
            <w:tcW w:w="14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3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1,634</w:t>
            </w: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1,757</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(123)</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4"/>
        </w:trPr>
        <w:tc>
          <w:tcPr>
            <w:tcW w:w="562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4,693</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3,949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744</w:t>
            </w:r>
          </w:p>
        </w:tc>
        <w:tc>
          <w:tcPr>
            <w:tcW w:w="1420" w:type="dxa"/>
            <w:vAlign w:val="bottom"/>
          </w:tcPr>
          <w:p>
            <w:pPr>
              <w:jc w:val="right"/>
              <w:spacing w:after="0"/>
              <w:rPr>
                <w:sz w:val="20"/>
                <w:szCs w:val="20"/>
                <w:color w:val="auto"/>
              </w:rPr>
            </w:pPr>
            <w:r>
              <w:rPr>
                <w:rFonts w:ascii="Arial" w:cs="Arial" w:eastAsia="Arial" w:hAnsi="Arial"/>
                <w:sz w:val="18"/>
                <w:szCs w:val="18"/>
                <w:color w:val="auto"/>
              </w:rPr>
              <w:t>19%</w:t>
            </w:r>
          </w:p>
        </w:tc>
      </w:tr>
    </w:tbl>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0" w:type="dxa"/>
            <w:vAlign w:val="bottom"/>
            <w:gridSpan w:val="3"/>
          </w:tcPr>
          <w:p>
            <w:pPr>
              <w:jc w:val="right"/>
              <w:ind w:right="270"/>
              <w:spacing w:after="0"/>
              <w:rPr>
                <w:sz w:val="20"/>
                <w:szCs w:val="20"/>
                <w:color w:val="auto"/>
              </w:rPr>
            </w:pPr>
            <w:r>
              <w:rPr>
                <w:rFonts w:ascii="Arial" w:cs="Arial" w:eastAsia="Arial" w:hAnsi="Arial"/>
                <w:sz w:val="18"/>
                <w:szCs w:val="18"/>
                <w:b w:val="1"/>
                <w:bCs w:val="1"/>
                <w:color w:val="auto"/>
                <w:w w:val="95"/>
              </w:rPr>
              <w:t>Six Months Ended June 30,</w:t>
            </w:r>
          </w:p>
        </w:tc>
        <w:tc>
          <w:tcPr>
            <w:tcW w:w="220" w:type="dxa"/>
            <w:vAlign w:val="bottom"/>
          </w:tcPr>
          <w:p>
            <w:pPr>
              <w:spacing w:after="0"/>
              <w:rPr>
                <w:sz w:val="19"/>
                <w:szCs w:val="19"/>
                <w:color w:val="auto"/>
              </w:rPr>
            </w:pPr>
          </w:p>
        </w:tc>
        <w:tc>
          <w:tcPr>
            <w:tcW w:w="1340" w:type="dxa"/>
            <w:vAlign w:val="bottom"/>
          </w:tcPr>
          <w:p>
            <w:pPr>
              <w:spacing w:after="0"/>
              <w:rPr>
                <w:sz w:val="20"/>
                <w:szCs w:val="20"/>
                <w:color w:val="auto"/>
              </w:rPr>
            </w:pPr>
            <w:r>
              <w:rPr>
                <w:rFonts w:ascii="Arial" w:cs="Arial" w:eastAsia="Arial" w:hAnsi="Arial"/>
                <w:sz w:val="18"/>
                <w:szCs w:val="18"/>
                <w:b w:val="1"/>
                <w:bCs w:val="1"/>
                <w:color w:val="auto"/>
              </w:rPr>
              <w:t>Increase</w:t>
            </w:r>
          </w:p>
        </w:tc>
        <w:tc>
          <w:tcPr>
            <w:tcW w:w="1420" w:type="dxa"/>
            <w:vAlign w:val="bottom"/>
          </w:tcPr>
          <w:p>
            <w:pPr>
              <w:ind w:left="120"/>
              <w:spacing w:after="0"/>
              <w:rPr>
                <w:sz w:val="20"/>
                <w:szCs w:val="20"/>
                <w:color w:val="auto"/>
              </w:rPr>
            </w:pPr>
            <w:r>
              <w:rPr>
                <w:rFonts w:ascii="Arial" w:cs="Arial" w:eastAsia="Arial" w:hAnsi="Arial"/>
                <w:sz w:val="18"/>
                <w:szCs w:val="18"/>
                <w:b w:val="1"/>
                <w:bCs w:val="1"/>
                <w:color w:val="auto"/>
              </w:rPr>
              <w:t>% Increase</w:t>
            </w:r>
          </w:p>
        </w:tc>
      </w:tr>
      <w:tr>
        <w:trPr>
          <w:trHeight w:val="234"/>
        </w:trPr>
        <w:tc>
          <w:tcPr>
            <w:tcW w:w="56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(Decrease)</w:t>
            </w:r>
          </w:p>
        </w:tc>
        <w:tc>
          <w:tcPr>
            <w:tcW w:w="14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(Decrease)</w:t>
            </w: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Salaries and related expenses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2,349</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2,072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277</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Laboratory and manufacturing supplies</w:t>
            </w:r>
          </w:p>
        </w:tc>
        <w:tc>
          <w:tcPr>
            <w:tcW w:w="2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2,586</w:t>
            </w:r>
          </w:p>
        </w:tc>
        <w:tc>
          <w:tcPr>
            <w:tcW w:w="4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637</w:t>
            </w:r>
          </w:p>
        </w:tc>
        <w:tc>
          <w:tcPr>
            <w:tcW w:w="220" w:type="dxa"/>
            <w:vAlign w:val="bottom"/>
          </w:tcPr>
          <w:p>
            <w:pPr>
              <w:spacing w:after="0"/>
              <w:rPr>
                <w:sz w:val="18"/>
                <w:szCs w:val="18"/>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1,949</w:t>
            </w:r>
          </w:p>
        </w:tc>
        <w:tc>
          <w:tcPr>
            <w:tcW w:w="1420" w:type="dxa"/>
            <w:vAlign w:val="bottom"/>
          </w:tcPr>
          <w:p>
            <w:pPr>
              <w:jc w:val="right"/>
              <w:spacing w:after="0"/>
              <w:rPr>
                <w:sz w:val="20"/>
                <w:szCs w:val="20"/>
                <w:color w:val="auto"/>
              </w:rPr>
            </w:pPr>
            <w:r>
              <w:rPr>
                <w:rFonts w:ascii="Arial" w:cs="Arial" w:eastAsia="Arial" w:hAnsi="Arial"/>
                <w:sz w:val="18"/>
                <w:szCs w:val="18"/>
                <w:color w:val="auto"/>
              </w:rPr>
              <w:t>306%</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Clinical trials and sponsored research</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496</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594</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(98)</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2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586</w:t>
            </w:r>
          </w:p>
        </w:tc>
        <w:tc>
          <w:tcPr>
            <w:tcW w:w="4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250</w:t>
            </w:r>
          </w:p>
        </w:tc>
        <w:tc>
          <w:tcPr>
            <w:tcW w:w="220" w:type="dxa"/>
            <w:vAlign w:val="bottom"/>
          </w:tcPr>
          <w:p>
            <w:pPr>
              <w:spacing w:after="0"/>
              <w:rPr>
                <w:sz w:val="18"/>
                <w:szCs w:val="18"/>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336</w:t>
            </w:r>
          </w:p>
        </w:tc>
        <w:tc>
          <w:tcPr>
            <w:tcW w:w="142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3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3,203</w:t>
            </w: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3,388</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(185)</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4"/>
        </w:trPr>
        <w:tc>
          <w:tcPr>
            <w:tcW w:w="562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9,220</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6,941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2,279</w:t>
            </w:r>
          </w:p>
        </w:tc>
        <w:tc>
          <w:tcPr>
            <w:tcW w:w="1420" w:type="dxa"/>
            <w:vAlign w:val="bottom"/>
          </w:tcPr>
          <w:p>
            <w:pPr>
              <w:jc w:val="right"/>
              <w:spacing w:after="0"/>
              <w:rPr>
                <w:sz w:val="20"/>
                <w:szCs w:val="20"/>
                <w:color w:val="auto"/>
              </w:rPr>
            </w:pPr>
            <w:r>
              <w:rPr>
                <w:rFonts w:ascii="Arial" w:cs="Arial" w:eastAsia="Arial" w:hAnsi="Arial"/>
                <w:sz w:val="18"/>
                <w:szCs w:val="18"/>
                <w:color w:val="auto"/>
              </w:rPr>
              <w:t>33%</w:t>
            </w:r>
          </w:p>
        </w:tc>
      </w:tr>
    </w:tbl>
    <w:p>
      <w:pPr>
        <w:spacing w:after="0" w:line="187" w:lineRule="exact"/>
        <w:rPr>
          <w:sz w:val="20"/>
          <w:szCs w:val="20"/>
          <w:color w:val="auto"/>
        </w:rPr>
      </w:pPr>
    </w:p>
    <w:p>
      <w:pPr>
        <w:ind w:right="200" w:firstLine="648"/>
        <w:spacing w:after="0" w:line="312" w:lineRule="auto"/>
        <w:rPr>
          <w:sz w:val="20"/>
          <w:szCs w:val="20"/>
          <w:color w:val="auto"/>
        </w:rPr>
      </w:pPr>
      <w:r>
        <w:rPr>
          <w:rFonts w:ascii="Arial" w:cs="Arial" w:eastAsia="Arial" w:hAnsi="Arial"/>
          <w:sz w:val="16"/>
          <w:szCs w:val="16"/>
          <w:color w:val="auto"/>
        </w:rPr>
        <w:t>We do not currently track our internal research and development costs or our personnel and related costs on an individual drug candidate basis. We use our research and development resources, including employees and our drug discovery technology, across multiple drug development programs. As a result, we cannot state precisely the costs incurred for each of our research and development programs or our clinical and preclinical drug candidates.</w:t>
      </w:r>
    </w:p>
    <w:p>
      <w:pPr>
        <w:spacing w:after="0" w:line="147"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Research and development expenses increased 19% to $4.7 million for the three months ended June 30, 2019 compared to $3.9 million for the three months ended June 30, 2018. Research and development expenses increased 33% to $9.2 million for the six months ended June 30, 2019 compared to $6.9 million for the six months ended June 30, 2018.</w:t>
      </w:r>
    </w:p>
    <w:p>
      <w:pPr>
        <w:spacing w:after="0" w:line="181"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The three month increase in research and development expenses was mainly due to a $0.9 million increase of laboratory and manufacturing supplies, related to the clinical drug manufacturing for the clinical trial expected to be opened in the remainder of the year. Clinical trials and sponsored research expense decreased due to the completion of two clinical trials started in 2018. In addition, there was an increase in salary and related expenses and share-based compensation due to the increase of our research and development workforce from 40 to 55.</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0" w:name="page21"/>
    <w:bookmarkEnd w:id="20"/>
    <w:p>
      <w:pPr>
        <w:ind w:right="80" w:firstLine="441"/>
        <w:spacing w:after="0" w:line="286" w:lineRule="auto"/>
        <w:rPr>
          <w:sz w:val="20"/>
          <w:szCs w:val="20"/>
          <w:color w:val="auto"/>
        </w:rPr>
      </w:pPr>
      <w:r>
        <w:rPr>
          <w:rFonts w:ascii="Arial" w:cs="Arial" w:eastAsia="Arial" w:hAnsi="Arial"/>
          <w:sz w:val="17"/>
          <w:szCs w:val="17"/>
          <w:color w:val="auto"/>
        </w:rPr>
        <w:t>Compared to the six months ended June 30, 2018, the research and development expense increase in the six months ended June 30, 2019 was primarily caused by the increase of laboratory and manufacturing supplies for the clinical trial expected to be opened in the remainder of the year. Labor costs and share-based compensation also increased due to the growing size of the research and development workforce.</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General and administrative costs are summarized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6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w w:val="94"/>
              </w:rPr>
              <w:t>Three Months Ended June 30,</w:t>
            </w:r>
          </w:p>
        </w:tc>
        <w:tc>
          <w:tcPr>
            <w:tcW w:w="980" w:type="dxa"/>
            <w:vAlign w:val="bottom"/>
          </w:tcPr>
          <w:p>
            <w:pPr>
              <w:ind w:left="120"/>
              <w:spacing w:after="0"/>
              <w:rPr>
                <w:sz w:val="20"/>
                <w:szCs w:val="20"/>
                <w:color w:val="auto"/>
              </w:rPr>
            </w:pPr>
            <w:r>
              <w:rPr>
                <w:rFonts w:ascii="Arial" w:cs="Arial" w:eastAsia="Arial" w:hAnsi="Arial"/>
                <w:sz w:val="18"/>
                <w:szCs w:val="18"/>
                <w:b w:val="1"/>
                <w:bCs w:val="1"/>
                <w:color w:val="auto"/>
              </w:rPr>
              <w:t>Increase</w:t>
            </w:r>
          </w:p>
        </w:tc>
        <w:tc>
          <w:tcPr>
            <w:tcW w:w="520" w:type="dxa"/>
            <w:vAlign w:val="bottom"/>
          </w:tcPr>
          <w:p>
            <w:pPr>
              <w:spacing w:after="0"/>
              <w:rPr>
                <w:sz w:val="19"/>
                <w:szCs w:val="19"/>
                <w:color w:val="auto"/>
              </w:rPr>
            </w:pPr>
          </w:p>
        </w:tc>
        <w:tc>
          <w:tcPr>
            <w:tcW w:w="1480" w:type="dxa"/>
            <w:vAlign w:val="bottom"/>
          </w:tcPr>
          <w:p>
            <w:pPr>
              <w:ind w:left="80"/>
              <w:spacing w:after="0"/>
              <w:rPr>
                <w:sz w:val="20"/>
                <w:szCs w:val="20"/>
                <w:color w:val="auto"/>
              </w:rPr>
            </w:pPr>
            <w:r>
              <w:rPr>
                <w:rFonts w:ascii="Arial" w:cs="Arial" w:eastAsia="Arial" w:hAnsi="Arial"/>
                <w:sz w:val="18"/>
                <w:szCs w:val="18"/>
                <w:b w:val="1"/>
                <w:bCs w:val="1"/>
                <w:color w:val="auto"/>
              </w:rPr>
              <w:t>% Increase</w:t>
            </w:r>
          </w:p>
        </w:tc>
      </w:tr>
      <w:tr>
        <w:trPr>
          <w:trHeight w:val="234"/>
        </w:trPr>
        <w:tc>
          <w:tcPr>
            <w:tcW w:w="56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9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1"/>
              </w:rPr>
              <w:t>(Decrease)</w:t>
            </w:r>
          </w:p>
        </w:tc>
        <w:tc>
          <w:tcPr>
            <w:tcW w:w="5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(Decrease)</w:t>
            </w: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Salaries and related expenses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211</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384</w:t>
            </w:r>
          </w:p>
        </w:tc>
        <w:tc>
          <w:tcPr>
            <w:tcW w:w="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(173)</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Patent filing expense</w:t>
            </w:r>
          </w:p>
        </w:tc>
        <w:tc>
          <w:tcPr>
            <w:tcW w:w="16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170</w:t>
            </w:r>
          </w:p>
        </w:tc>
        <w:tc>
          <w:tcPr>
            <w:tcW w:w="4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220</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(50)</w:t>
            </w:r>
          </w:p>
        </w:tc>
        <w:tc>
          <w:tcPr>
            <w:tcW w:w="14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195</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475</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(280)</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Professional fees</w:t>
            </w:r>
          </w:p>
        </w:tc>
        <w:tc>
          <w:tcPr>
            <w:tcW w:w="16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356</w:t>
            </w:r>
          </w:p>
        </w:tc>
        <w:tc>
          <w:tcPr>
            <w:tcW w:w="4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136</w:t>
            </w:r>
          </w:p>
        </w:tc>
        <w:tc>
          <w:tcPr>
            <w:tcW w:w="980" w:type="dxa"/>
            <w:vAlign w:val="bottom"/>
          </w:tcPr>
          <w:p>
            <w:pPr>
              <w:spacing w:after="0"/>
              <w:rPr>
                <w:sz w:val="18"/>
                <w:szCs w:val="18"/>
                <w:color w:val="auto"/>
              </w:rPr>
            </w:pPr>
          </w:p>
        </w:tc>
        <w:tc>
          <w:tcPr>
            <w:tcW w:w="520" w:type="dxa"/>
            <w:vAlign w:val="bottom"/>
          </w:tcPr>
          <w:p>
            <w:pPr>
              <w:jc w:val="right"/>
              <w:ind w:right="50"/>
              <w:spacing w:after="0"/>
              <w:rPr>
                <w:sz w:val="20"/>
                <w:szCs w:val="20"/>
                <w:color w:val="auto"/>
              </w:rPr>
            </w:pPr>
            <w:r>
              <w:rPr>
                <w:rFonts w:ascii="Arial" w:cs="Arial" w:eastAsia="Arial" w:hAnsi="Arial"/>
                <w:sz w:val="18"/>
                <w:szCs w:val="18"/>
                <w:color w:val="auto"/>
              </w:rPr>
              <w:t>220</w:t>
            </w:r>
          </w:p>
        </w:tc>
        <w:tc>
          <w:tcPr>
            <w:tcW w:w="148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3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381</w:t>
            </w: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457</w:t>
            </w:r>
          </w:p>
        </w:tc>
        <w:tc>
          <w:tcPr>
            <w:tcW w:w="9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4"/>
        </w:trPr>
        <w:tc>
          <w:tcPr>
            <w:tcW w:w="562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1,313</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1,672</w:t>
            </w:r>
          </w:p>
        </w:tc>
        <w:tc>
          <w:tcPr>
            <w:tcW w:w="980" w:type="dxa"/>
            <w:vAlign w:val="bottom"/>
          </w:tcPr>
          <w:p>
            <w:pPr>
              <w:ind w:left="1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9"/>
              </w:rPr>
              <w:t>(359)</w:t>
            </w:r>
          </w:p>
        </w:tc>
        <w:tc>
          <w:tcPr>
            <w:tcW w:w="1480" w:type="dxa"/>
            <w:vAlign w:val="bottom"/>
          </w:tcPr>
          <w:p>
            <w:pPr>
              <w:jc w:val="right"/>
              <w:spacing w:after="0"/>
              <w:rPr>
                <w:sz w:val="20"/>
                <w:szCs w:val="20"/>
                <w:color w:val="auto"/>
              </w:rPr>
            </w:pPr>
            <w:r>
              <w:rPr>
                <w:rFonts w:ascii="Arial" w:cs="Arial" w:eastAsia="Arial" w:hAnsi="Arial"/>
                <w:sz w:val="18"/>
                <w:szCs w:val="18"/>
                <w:color w:val="auto"/>
              </w:rPr>
              <w:t>-21%</w:t>
            </w:r>
          </w:p>
        </w:tc>
      </w:tr>
    </w:tbl>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0" w:type="dxa"/>
            <w:vAlign w:val="bottom"/>
            <w:gridSpan w:val="3"/>
          </w:tcPr>
          <w:p>
            <w:pPr>
              <w:jc w:val="right"/>
              <w:ind w:right="270"/>
              <w:spacing w:after="0"/>
              <w:rPr>
                <w:sz w:val="20"/>
                <w:szCs w:val="20"/>
                <w:color w:val="auto"/>
              </w:rPr>
            </w:pPr>
            <w:r>
              <w:rPr>
                <w:rFonts w:ascii="Arial" w:cs="Arial" w:eastAsia="Arial" w:hAnsi="Arial"/>
                <w:sz w:val="18"/>
                <w:szCs w:val="18"/>
                <w:b w:val="1"/>
                <w:bCs w:val="1"/>
                <w:color w:val="auto"/>
                <w:w w:val="95"/>
              </w:rPr>
              <w:t>Six Months Ended June 30,</w:t>
            </w:r>
          </w:p>
        </w:tc>
        <w:tc>
          <w:tcPr>
            <w:tcW w:w="980" w:type="dxa"/>
            <w:vAlign w:val="bottom"/>
          </w:tcPr>
          <w:p>
            <w:pPr>
              <w:ind w:left="120"/>
              <w:spacing w:after="0"/>
              <w:rPr>
                <w:sz w:val="20"/>
                <w:szCs w:val="20"/>
                <w:color w:val="auto"/>
              </w:rPr>
            </w:pPr>
            <w:r>
              <w:rPr>
                <w:rFonts w:ascii="Arial" w:cs="Arial" w:eastAsia="Arial" w:hAnsi="Arial"/>
                <w:sz w:val="18"/>
                <w:szCs w:val="18"/>
                <w:b w:val="1"/>
                <w:bCs w:val="1"/>
                <w:color w:val="auto"/>
              </w:rPr>
              <w:t>Increase</w:t>
            </w:r>
          </w:p>
        </w:tc>
        <w:tc>
          <w:tcPr>
            <w:tcW w:w="520" w:type="dxa"/>
            <w:vAlign w:val="bottom"/>
          </w:tcPr>
          <w:p>
            <w:pPr>
              <w:spacing w:after="0"/>
              <w:rPr>
                <w:sz w:val="19"/>
                <w:szCs w:val="19"/>
                <w:color w:val="auto"/>
              </w:rPr>
            </w:pPr>
          </w:p>
        </w:tc>
        <w:tc>
          <w:tcPr>
            <w:tcW w:w="1480" w:type="dxa"/>
            <w:vAlign w:val="bottom"/>
          </w:tcPr>
          <w:p>
            <w:pPr>
              <w:ind w:left="80"/>
              <w:spacing w:after="0"/>
              <w:rPr>
                <w:sz w:val="20"/>
                <w:szCs w:val="20"/>
                <w:color w:val="auto"/>
              </w:rPr>
            </w:pPr>
            <w:r>
              <w:rPr>
                <w:rFonts w:ascii="Arial" w:cs="Arial" w:eastAsia="Arial" w:hAnsi="Arial"/>
                <w:sz w:val="18"/>
                <w:szCs w:val="18"/>
                <w:b w:val="1"/>
                <w:bCs w:val="1"/>
                <w:color w:val="auto"/>
              </w:rPr>
              <w:t>% Increase</w:t>
            </w:r>
          </w:p>
        </w:tc>
      </w:tr>
      <w:tr>
        <w:trPr>
          <w:trHeight w:val="234"/>
        </w:trPr>
        <w:tc>
          <w:tcPr>
            <w:tcW w:w="56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9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1"/>
              </w:rPr>
              <w:t>(Decrease)</w:t>
            </w:r>
          </w:p>
        </w:tc>
        <w:tc>
          <w:tcPr>
            <w:tcW w:w="5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(Decrease)</w:t>
            </w: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Salaries and related expenses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466</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707</w:t>
            </w:r>
          </w:p>
        </w:tc>
        <w:tc>
          <w:tcPr>
            <w:tcW w:w="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(241)</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Patent filing expense</w:t>
            </w:r>
          </w:p>
        </w:tc>
        <w:tc>
          <w:tcPr>
            <w:tcW w:w="2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369</w:t>
            </w:r>
          </w:p>
        </w:tc>
        <w:tc>
          <w:tcPr>
            <w:tcW w:w="4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401</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(32)</w:t>
            </w:r>
          </w:p>
        </w:tc>
        <w:tc>
          <w:tcPr>
            <w:tcW w:w="14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470</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497</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Professional fees</w:t>
            </w:r>
          </w:p>
        </w:tc>
        <w:tc>
          <w:tcPr>
            <w:tcW w:w="2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540</w:t>
            </w:r>
          </w:p>
        </w:tc>
        <w:tc>
          <w:tcPr>
            <w:tcW w:w="4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343</w:t>
            </w:r>
          </w:p>
        </w:tc>
        <w:tc>
          <w:tcPr>
            <w:tcW w:w="980" w:type="dxa"/>
            <w:vAlign w:val="bottom"/>
          </w:tcPr>
          <w:p>
            <w:pPr>
              <w:spacing w:after="0"/>
              <w:rPr>
                <w:sz w:val="18"/>
                <w:szCs w:val="18"/>
                <w:color w:val="auto"/>
              </w:rPr>
            </w:pPr>
          </w:p>
        </w:tc>
        <w:tc>
          <w:tcPr>
            <w:tcW w:w="520" w:type="dxa"/>
            <w:vAlign w:val="bottom"/>
          </w:tcPr>
          <w:p>
            <w:pPr>
              <w:jc w:val="right"/>
              <w:ind w:right="50"/>
              <w:spacing w:after="0"/>
              <w:rPr>
                <w:sz w:val="20"/>
                <w:szCs w:val="20"/>
                <w:color w:val="auto"/>
              </w:rPr>
            </w:pPr>
            <w:r>
              <w:rPr>
                <w:rFonts w:ascii="Arial" w:cs="Arial" w:eastAsia="Arial" w:hAnsi="Arial"/>
                <w:sz w:val="18"/>
                <w:szCs w:val="18"/>
                <w:color w:val="auto"/>
              </w:rPr>
              <w:t>197</w:t>
            </w:r>
          </w:p>
        </w:tc>
        <w:tc>
          <w:tcPr>
            <w:tcW w:w="14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746</w:t>
            </w: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881</w:t>
            </w:r>
          </w:p>
        </w:tc>
        <w:tc>
          <w:tcPr>
            <w:tcW w:w="9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(135)</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4"/>
        </w:trPr>
        <w:tc>
          <w:tcPr>
            <w:tcW w:w="562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2,591</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2,829</w:t>
            </w:r>
          </w:p>
        </w:tc>
        <w:tc>
          <w:tcPr>
            <w:tcW w:w="980" w:type="dxa"/>
            <w:vAlign w:val="bottom"/>
          </w:tcPr>
          <w:p>
            <w:pPr>
              <w:ind w:left="1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9"/>
              </w:rPr>
              <w:t>(238)</w:t>
            </w:r>
          </w:p>
        </w:tc>
        <w:tc>
          <w:tcPr>
            <w:tcW w:w="1480" w:type="dxa"/>
            <w:vAlign w:val="bottom"/>
          </w:tcPr>
          <w:p>
            <w:pPr>
              <w:jc w:val="right"/>
              <w:spacing w:after="0"/>
              <w:rPr>
                <w:sz w:val="20"/>
                <w:szCs w:val="20"/>
                <w:color w:val="auto"/>
              </w:rPr>
            </w:pPr>
            <w:r>
              <w:rPr>
                <w:rFonts w:ascii="Arial" w:cs="Arial" w:eastAsia="Arial" w:hAnsi="Arial"/>
                <w:sz w:val="18"/>
                <w:szCs w:val="18"/>
                <w:color w:val="auto"/>
              </w:rPr>
              <w:t>-8%</w:t>
            </w:r>
          </w:p>
        </w:tc>
      </w:tr>
    </w:tbl>
    <w:p>
      <w:pPr>
        <w:spacing w:after="0" w:line="200" w:lineRule="exact"/>
        <w:rPr>
          <w:sz w:val="20"/>
          <w:szCs w:val="20"/>
          <w:color w:val="auto"/>
        </w:rPr>
      </w:pPr>
    </w:p>
    <w:p>
      <w:pPr>
        <w:spacing w:after="0" w:line="204" w:lineRule="exact"/>
        <w:rPr>
          <w:sz w:val="20"/>
          <w:szCs w:val="20"/>
          <w:color w:val="auto"/>
        </w:rPr>
      </w:pPr>
    </w:p>
    <w:p>
      <w:pPr>
        <w:jc w:val="both"/>
        <w:ind w:right="40" w:firstLine="441"/>
        <w:spacing w:after="0" w:line="264" w:lineRule="auto"/>
        <w:rPr>
          <w:sz w:val="20"/>
          <w:szCs w:val="20"/>
          <w:color w:val="auto"/>
        </w:rPr>
      </w:pPr>
      <w:r>
        <w:rPr>
          <w:rFonts w:ascii="Arial" w:cs="Arial" w:eastAsia="Arial" w:hAnsi="Arial"/>
          <w:sz w:val="18"/>
          <w:szCs w:val="18"/>
          <w:color w:val="auto"/>
        </w:rPr>
        <w:t>General and administrative expenses decreased by 21% to $1.3 million for the three months ended June 30, 2019 compared to $1.7 million for the three months ended June 30, 2018. General and administrative expenses decreased by 8% to $2.6 million for the six months ended June 30, 2019 compared to $2.8 million for the six months ended June 30, 2018.</w:t>
      </w:r>
    </w:p>
    <w:p>
      <w:pPr>
        <w:spacing w:after="0" w:line="181" w:lineRule="exact"/>
        <w:rPr>
          <w:sz w:val="20"/>
          <w:szCs w:val="20"/>
          <w:color w:val="auto"/>
        </w:rPr>
      </w:pPr>
    </w:p>
    <w:p>
      <w:pPr>
        <w:ind w:right="380" w:firstLine="441"/>
        <w:spacing w:after="0" w:line="342" w:lineRule="auto"/>
        <w:rPr>
          <w:sz w:val="20"/>
          <w:szCs w:val="20"/>
          <w:color w:val="auto"/>
        </w:rPr>
      </w:pPr>
      <w:r>
        <w:rPr>
          <w:rFonts w:ascii="Arial" w:cs="Arial" w:eastAsia="Arial" w:hAnsi="Arial"/>
          <w:sz w:val="16"/>
          <w:szCs w:val="16"/>
          <w:color w:val="auto"/>
        </w:rPr>
        <w:t>The three months decrease was primarily related to a $0.3 million decrease in share-based compensation due to the stock options granted to certain consultants in Q2 2018. Salaries and related expense decreased due to the $193 thousand bonus paid to the Chief Executive Officer in June 2018 .</w:t>
      </w:r>
    </w:p>
    <w:p>
      <w:pPr>
        <w:spacing w:after="0" w:line="124" w:lineRule="exact"/>
        <w:rPr>
          <w:sz w:val="20"/>
          <w:szCs w:val="20"/>
          <w:color w:val="auto"/>
        </w:rPr>
      </w:pPr>
    </w:p>
    <w:p>
      <w:pPr>
        <w:ind w:right="640" w:firstLine="441"/>
        <w:spacing w:after="0" w:line="381" w:lineRule="auto"/>
        <w:rPr>
          <w:sz w:val="20"/>
          <w:szCs w:val="20"/>
          <w:color w:val="auto"/>
        </w:rPr>
      </w:pPr>
      <w:r>
        <w:rPr>
          <w:rFonts w:ascii="Arial" w:cs="Arial" w:eastAsia="Arial" w:hAnsi="Arial"/>
          <w:sz w:val="15"/>
          <w:szCs w:val="15"/>
          <w:color w:val="auto"/>
        </w:rPr>
        <w:t>Compared to the six months ended June 30, 2018, , the general and administrative expense decrease in the six months ended June 30, 2018 was primarily caused by the decrease of.salaries and related expense due to the $193 thousand bonus paid to the Chief Executive Officer in June 2018 .</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Arial" w:cs="Arial" w:eastAsia="Arial" w:hAnsi="Arial"/>
                <w:sz w:val="18"/>
                <w:szCs w:val="18"/>
                <w:b w:val="1"/>
                <w:bCs w:val="1"/>
                <w:i w:val="1"/>
                <w:iCs w:val="1"/>
                <w:color w:val="auto"/>
              </w:rPr>
              <w:t>Other income (loss)</w:t>
            </w: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32"/>
        </w:trPr>
        <w:tc>
          <w:tcPr>
            <w:tcW w:w="5620" w:type="dxa"/>
            <w:vAlign w:val="bottom"/>
          </w:tcPr>
          <w:p>
            <w:pPr>
              <w:ind w:left="660"/>
              <w:spacing w:after="0"/>
              <w:rPr>
                <w:sz w:val="20"/>
                <w:szCs w:val="20"/>
                <w:color w:val="auto"/>
              </w:rPr>
            </w:pPr>
            <w:r>
              <w:rPr>
                <w:rFonts w:ascii="Arial" w:cs="Arial" w:eastAsia="Arial" w:hAnsi="Arial"/>
                <w:sz w:val="18"/>
                <w:szCs w:val="18"/>
                <w:color w:val="auto"/>
                <w:w w:val="92"/>
              </w:rPr>
              <w:t>The following table summarizes other income (loss) (in thousands):</w:t>
            </w: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14"/>
        </w:trPr>
        <w:tc>
          <w:tcPr>
            <w:tcW w:w="5620" w:type="dxa"/>
            <w:vAlign w:val="bottom"/>
          </w:tcPr>
          <w:p>
            <w:pPr>
              <w:spacing w:after="0"/>
              <w:rPr>
                <w:sz w:val="24"/>
                <w:szCs w:val="24"/>
                <w:color w:val="auto"/>
              </w:rPr>
            </w:pPr>
          </w:p>
        </w:tc>
        <w:tc>
          <w:tcPr>
            <w:tcW w:w="2920" w:type="dxa"/>
            <w:vAlign w:val="bottom"/>
            <w:gridSpan w:val="4"/>
          </w:tcPr>
          <w:p>
            <w:pPr>
              <w:jc w:val="right"/>
              <w:ind w:right="230"/>
              <w:spacing w:after="0"/>
              <w:rPr>
                <w:sz w:val="20"/>
                <w:szCs w:val="20"/>
                <w:color w:val="auto"/>
              </w:rPr>
            </w:pPr>
            <w:r>
              <w:rPr>
                <w:rFonts w:ascii="Arial" w:cs="Arial" w:eastAsia="Arial" w:hAnsi="Arial"/>
                <w:sz w:val="18"/>
                <w:szCs w:val="18"/>
                <w:b w:val="1"/>
                <w:bCs w:val="1"/>
                <w:color w:val="auto"/>
              </w:rPr>
              <w:t>Three Months Ended June 30,</w:t>
            </w:r>
          </w:p>
        </w:tc>
        <w:tc>
          <w:tcPr>
            <w:tcW w:w="300" w:type="dxa"/>
            <w:vAlign w:val="bottom"/>
          </w:tcPr>
          <w:p>
            <w:pPr>
              <w:spacing w:after="0"/>
              <w:rPr>
                <w:sz w:val="24"/>
                <w:szCs w:val="24"/>
                <w:color w:val="auto"/>
              </w:rPr>
            </w:pPr>
          </w:p>
        </w:tc>
        <w:tc>
          <w:tcPr>
            <w:tcW w:w="2580" w:type="dxa"/>
            <w:vAlign w:val="bottom"/>
            <w:gridSpan w:val="3"/>
          </w:tcPr>
          <w:p>
            <w:pPr>
              <w:jc w:val="right"/>
              <w:ind w:right="270"/>
              <w:spacing w:after="0"/>
              <w:rPr>
                <w:sz w:val="20"/>
                <w:szCs w:val="20"/>
                <w:color w:val="auto"/>
              </w:rPr>
            </w:pPr>
            <w:r>
              <w:rPr>
                <w:rFonts w:ascii="Arial" w:cs="Arial" w:eastAsia="Arial" w:hAnsi="Arial"/>
                <w:sz w:val="18"/>
                <w:szCs w:val="18"/>
                <w:b w:val="1"/>
                <w:bCs w:val="1"/>
                <w:color w:val="auto"/>
                <w:w w:val="94"/>
              </w:rPr>
              <w:t>Six Months Ended June 30,</w:t>
            </w:r>
          </w:p>
        </w:tc>
      </w:tr>
      <w:tr>
        <w:trPr>
          <w:trHeight w:val="234"/>
        </w:trPr>
        <w:tc>
          <w:tcPr>
            <w:tcW w:w="56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30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36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w:t>
            </w: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107</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129</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170</w:t>
            </w:r>
          </w:p>
        </w:tc>
      </w:tr>
      <w:tr>
        <w:trPr>
          <w:trHeight w:val="230"/>
        </w:trPr>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income</w:t>
            </w:r>
          </w:p>
        </w:tc>
        <w:tc>
          <w:tcPr>
            <w:tcW w:w="9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gain (loss)</w:t>
            </w:r>
          </w:p>
        </w:tc>
        <w:tc>
          <w:tcPr>
            <w:tcW w:w="9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102</w:t>
            </w: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w:t>
            </w:r>
          </w:p>
        </w:tc>
      </w:tr>
      <w:tr>
        <w:trPr>
          <w:trHeight w:val="250"/>
        </w:trPr>
        <w:tc>
          <w:tcPr>
            <w:tcW w:w="5620" w:type="dxa"/>
            <w:vAlign w:val="bottom"/>
          </w:tcPr>
          <w:p>
            <w:pPr>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tcPr>
          <w:p>
            <w:pPr>
              <w:jc w:val="right"/>
              <w:ind w:right="775"/>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154</w:t>
            </w: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95</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r>
      <w:tr>
        <w:trPr>
          <w:trHeight w:val="20"/>
        </w:trPr>
        <w:tc>
          <w:tcPr>
            <w:tcW w:w="56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interest income for the three months and six months ended June 30, 2019 and 2018 was mainly from the interest generated from the Company’s Canadian bank account. Foreign exchange gain and loss was mainly due to the fluctuation between US dollar and Euro in the three months and six months ended June 30, 2019 compared to the three months and six months ended June 30,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Our cash requirements could change materially as a result of the progress of our research and development and clinical programs, licensing activities, acquisitions, divestitures or other corporate developments.</w:t>
      </w:r>
    </w:p>
    <w:p>
      <w:pPr>
        <w:spacing w:after="0" w:line="170" w:lineRule="exact"/>
        <w:rPr>
          <w:sz w:val="20"/>
          <w:szCs w:val="20"/>
          <w:color w:val="auto"/>
        </w:rPr>
      </w:pPr>
    </w:p>
    <w:p>
      <w:pPr>
        <w:ind w:right="160" w:firstLine="441"/>
        <w:spacing w:after="0" w:line="264" w:lineRule="auto"/>
        <w:rPr>
          <w:sz w:val="20"/>
          <w:szCs w:val="20"/>
          <w:color w:val="auto"/>
        </w:rPr>
      </w:pPr>
      <w:r>
        <w:rPr>
          <w:rFonts w:ascii="Arial" w:cs="Arial" w:eastAsia="Arial" w:hAnsi="Arial"/>
          <w:sz w:val="18"/>
          <w:szCs w:val="18"/>
          <w:color w:val="auto"/>
        </w:rPr>
        <w:t>Since our inception on March 22, 2005 through June 30, 2019, we have funded our operations principally through public offerings and the private placement of equity securities, which have provided aggregate cash proceeds of approximately $296.0 million. The following table summarizes our sources and uses of cash (in thousands):</w:t>
      </w:r>
    </w:p>
    <w:p>
      <w:pPr>
        <w:spacing w:after="0" w:line="177"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60" w:type="dxa"/>
            <w:vAlign w:val="bottom"/>
            <w:gridSpan w:val="3"/>
          </w:tcPr>
          <w:p>
            <w:pPr>
              <w:jc w:val="right"/>
              <w:ind w:right="170"/>
              <w:spacing w:after="0"/>
              <w:rPr>
                <w:sz w:val="20"/>
                <w:szCs w:val="20"/>
                <w:color w:val="auto"/>
              </w:rPr>
            </w:pPr>
            <w:r>
              <w:rPr>
                <w:rFonts w:ascii="Arial" w:cs="Arial" w:eastAsia="Arial" w:hAnsi="Arial"/>
                <w:sz w:val="18"/>
                <w:szCs w:val="18"/>
                <w:b w:val="1"/>
                <w:bCs w:val="1"/>
                <w:color w:val="auto"/>
                <w:w w:val="93"/>
              </w:rPr>
              <w:t>Six Months Ended June 30,</w:t>
            </w:r>
          </w:p>
        </w:tc>
      </w:tr>
      <w:tr>
        <w:trPr>
          <w:trHeight w:val="234"/>
        </w:trPr>
        <w:tc>
          <w:tcPr>
            <w:tcW w:w="5440" w:type="dxa"/>
            <w:vAlign w:val="bottom"/>
            <w:gridSpan w:val="2"/>
          </w:tcPr>
          <w:p>
            <w:pPr>
              <w:spacing w:after="0"/>
              <w:rPr>
                <w:sz w:val="20"/>
                <w:szCs w:val="20"/>
                <w:color w:val="auto"/>
              </w:rPr>
            </w:pPr>
            <w:r>
              <w:rPr>
                <w:rFonts w:ascii="Arial" w:cs="Arial" w:eastAsia="Arial" w:hAnsi="Arial"/>
                <w:sz w:val="18"/>
                <w:szCs w:val="18"/>
                <w:color w:val="auto"/>
              </w:rPr>
              <w:t>Net cash (used in) provided by:</w:t>
            </w: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32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r>
      <w:tr>
        <w:trPr>
          <w:trHeight w:val="210"/>
        </w:trPr>
        <w:tc>
          <w:tcPr>
            <w:tcW w:w="20" w:type="dxa"/>
            <w:vAlign w:val="bottom"/>
          </w:tcPr>
          <w:p>
            <w:pPr>
              <w:spacing w:after="0"/>
              <w:rPr>
                <w:sz w:val="18"/>
                <w:szCs w:val="18"/>
                <w:color w:val="auto"/>
              </w:rPr>
            </w:pPr>
          </w:p>
        </w:tc>
        <w:tc>
          <w:tcPr>
            <w:tcW w:w="5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0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(9,540)</w:t>
            </w:r>
          </w:p>
        </w:tc>
        <w:tc>
          <w:tcPr>
            <w:tcW w:w="32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(7,426)</w:t>
            </w: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Investing activities</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38,636</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r>
      <w:tr>
        <w:trPr>
          <w:trHeight w:val="230"/>
        </w:trPr>
        <w:tc>
          <w:tcPr>
            <w:tcW w:w="20" w:type="dxa"/>
            <w:vAlign w:val="bottom"/>
          </w:tcPr>
          <w:p>
            <w:pPr>
              <w:spacing w:after="0"/>
              <w:rPr>
                <w:sz w:val="19"/>
                <w:szCs w:val="19"/>
                <w:color w:val="auto"/>
              </w:rPr>
            </w:pPr>
          </w:p>
        </w:tc>
        <w:tc>
          <w:tcPr>
            <w:tcW w:w="5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foreign exchange rate on cash and cash equivalents</w:t>
            </w:r>
          </w:p>
        </w:tc>
        <w:tc>
          <w:tcPr>
            <w:tcW w:w="10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w:t>
            </w:r>
          </w:p>
        </w:tc>
      </w:tr>
      <w:tr>
        <w:trPr>
          <w:trHeight w:val="250"/>
        </w:trPr>
        <w:tc>
          <w:tcPr>
            <w:tcW w:w="20" w:type="dxa"/>
            <w:vAlign w:val="bottom"/>
          </w:tcPr>
          <w:p>
            <w:pPr>
              <w:spacing w:after="0"/>
              <w:rPr>
                <w:sz w:val="21"/>
                <w:szCs w:val="21"/>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1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29,098</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(6,919)</w:t>
            </w:r>
          </w:p>
        </w:tc>
      </w:tr>
      <w:tr>
        <w:trPr>
          <w:trHeight w:val="20"/>
        </w:trPr>
        <w:tc>
          <w:tcPr>
            <w:tcW w:w="20" w:type="dxa"/>
            <w:vAlign w:val="bottom"/>
          </w:tcPr>
          <w:p>
            <w:pPr>
              <w:spacing w:after="0" w:line="20" w:lineRule="exact"/>
              <w:rPr>
                <w:sz w:val="1"/>
                <w:szCs w:val="1"/>
                <w:color w:val="auto"/>
              </w:rPr>
            </w:pPr>
          </w:p>
        </w:tc>
        <w:tc>
          <w:tcPr>
            <w:tcW w:w="54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During the six months ended June 30, 2019 and 2018, our operating activities used net cash of $9.5 million and $7.4 million, respectively. The use of net cash in each of these periods primarily resulted from our net losses. The increase in net loss from operations for the six months ended June 30, 2019 as compared to the six months ended June 30, 2018 was mainly due to the increase in laboratory and manufacturing supplies.</w:t>
      </w:r>
    </w:p>
    <w:p>
      <w:pPr>
        <w:spacing w:after="0" w:line="166"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During the six months ended June 30, 2019 and 2018, our investing activities used net cash of $37 thousand and $82 thousand, respectively. The use of cash was for the purchase of new research and development equipment.</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During the six months ended June 30, 2019 and 2018, our financing activities provided net cash proceeds of $38.6 million and $0.2 million, respectively. During the six months ended June 30, 2019, the Company sold 4.8 million shares under the Common Shares Purchase Agreement with Piper Jaffray &amp; Co for net proceeds of approximately $37.5 million. Employees exercised stock options to purchase a total of 255 thousand shares of our common stock for approximately $0.9 million in net proceeds. In this period, the Company also collected $0.3 million of its subscription receivable balance. During the six months ended June 30, 2018, employees exercised stock options to purchase a total of 81 thousand shares of our common stock for approximately $0.2 million in net proceeds.</w:t>
      </w:r>
    </w:p>
    <w:p>
      <w:pPr>
        <w:spacing w:after="0" w:line="193"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We expect to continue to incur substantial operating losses in the future. We will not receive any product revenue until a drug candidate has been approved by the FDA, EMA or similar regulatory agencies in other countries and successfully commercialized. As of June 30, 2019, our principal sources of liquidity were our cash and cash equivalents, which totaled approximately $44.9 million.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Since inception, we have not engaged in any off-balance sheet activities, including the use of structured finance, special purpose entities or variable interest entities.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of Market Risks</w:t>
      </w:r>
    </w:p>
    <w:p>
      <w:pPr>
        <w:spacing w:after="0" w:line="22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Company is not currently exposed to material market risk arising from financial instruments, changes in interest rates or commodity prices, or fluctuations in foreign currencies. The Company has no need to hedge against any of the foregoing risks and therefore currently engages in no hedging activities.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Evaluation of our Disclosure Controls and Procedures</w:t>
      </w:r>
    </w:p>
    <w:p>
      <w:pPr>
        <w:spacing w:after="0" w:line="22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As of the end of the period covered by this Quarterly Report on Form 10-Q, an evaluation was carried out by the Company’s management, with the participation of the Chief Executive Officer and Principal Financial Officer, of the effectiveness of the Company’s disclosure controls and procedures, as defined in Rule 13a-15(e) and 15d-15(e) under the Securities Exchange Act of 1934. Based on such evaluation, the Chief Executive Officer and Principal Financial Officer concluded that the Company’s disclosure controls and procedures are effective to ensure that information required to be disclosed in the reports the Company files or furnishes under the Securities Exchange Act of 1934 is recorded, processed, summarized and reported within the time periods specified in the SEC’s rules and regulations, and are operating in an effective manner.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120" w:firstLine="648"/>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second quarter of the year ended December 31, 2019 that has materially affected, or is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29"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280"/>
          </w:cols>
          <w:pgMar w:left="240" w:top="904" w:right="379" w:bottom="1440" w:gutter="0" w:footer="0" w:header="0"/>
        </w:sectPr>
      </w:pPr>
    </w:p>
    <w:bookmarkStart w:id="23" w:name="page24"/>
    <w:bookmarkEnd w:id="23"/>
    <w:p>
      <w:pPr>
        <w:ind w:left="4540"/>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Risk Factors</w:t>
      </w:r>
    </w:p>
    <w:p>
      <w:pPr>
        <w:spacing w:after="0" w:line="229"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There have been no material changes to the risk factors included in our Annual Report on Form 10-K for the year ended December 31, 2018. Please carefully consider the information set forth in this Quarterly Report on Form 10-Q and the risk factors discussed in Part I, “Item 1A. Risk Factors” in our Annual Report on Form 10-K for the year ended December 31, 2018, which could materially affect our business, financial condition or future results. The risks described in our Annual Report on Form 10-K, as well as other risks and uncertainties, could materially and adversely affect our business, results of operations and financial condition, which in turn could materially and adversely affect the trading price of shares of our Common Stock. Additional risks not currently known or currently material to us may also harm our business.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 of Equity Securities and Use of Proceeds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7" w:lineRule="exact"/>
        <w:rPr>
          <w:sz w:val="20"/>
          <w:szCs w:val="20"/>
          <w:color w:val="auto"/>
        </w:rPr>
      </w:pPr>
    </w:p>
    <w:p>
      <w:pPr>
        <w:jc w:val="center"/>
        <w:ind w:right="8880"/>
        <w:spacing w:after="0"/>
        <w:rPr>
          <w:sz w:val="20"/>
          <w:szCs w:val="20"/>
          <w:color w:val="auto"/>
        </w:rPr>
      </w:pPr>
      <w:r>
        <w:rPr>
          <w:rFonts w:ascii="Arial" w:cs="Arial" w:eastAsia="Arial" w:hAnsi="Arial"/>
          <w:sz w:val="16"/>
          <w:szCs w:val="16"/>
          <w:b w:val="1"/>
          <w:bCs w:val="1"/>
          <w:color w:val="auto"/>
        </w:rPr>
        <w:t>Item 4. Mine Safety Disclosures</w:t>
      </w:r>
    </w:p>
    <w:p>
      <w:pPr>
        <w:spacing w:after="0" w:line="50" w:lineRule="exact"/>
        <w:rPr>
          <w:sz w:val="20"/>
          <w:szCs w:val="20"/>
          <w:color w:val="auto"/>
        </w:rPr>
      </w:pPr>
    </w:p>
    <w:p>
      <w:pPr>
        <w:jc w:val="center"/>
        <w:ind w:right="8840"/>
        <w:spacing w:after="0"/>
        <w:rPr>
          <w:sz w:val="20"/>
          <w:szCs w:val="20"/>
          <w:color w:val="auto"/>
        </w:rPr>
      </w:pPr>
      <w:r>
        <w:rPr>
          <w:rFonts w:ascii="Arial" w:cs="Arial" w:eastAsia="Arial" w:hAnsi="Arial"/>
          <w:sz w:val="18"/>
          <w:szCs w:val="18"/>
          <w:color w:val="auto"/>
        </w:rPr>
        <w:t>Not Applicable.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00"/>
          </w:cols>
          <w:pgMar w:left="240" w:top="904" w:right="35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4"/>
        </w:trPr>
        <w:tc>
          <w:tcPr>
            <w:tcW w:w="3320" w:type="dxa"/>
            <w:vAlign w:val="bottom"/>
            <w:gridSpan w:val="3"/>
          </w:tcPr>
          <w:p>
            <w:pPr>
              <w:spacing w:after="0"/>
              <w:rPr>
                <w:sz w:val="20"/>
                <w:szCs w:val="20"/>
                <w:color w:val="auto"/>
              </w:rPr>
            </w:pPr>
            <w:r>
              <w:rPr>
                <w:rFonts w:ascii="Arial" w:cs="Arial" w:eastAsia="Arial" w:hAnsi="Arial"/>
                <w:sz w:val="18"/>
                <w:szCs w:val="18"/>
                <w:b w:val="1"/>
                <w:bCs w:val="1"/>
                <w:color w:val="auto"/>
              </w:rPr>
              <w:t>Item 6. Exhibits.</w:t>
            </w:r>
          </w:p>
        </w:tc>
        <w:tc>
          <w:tcPr>
            <w:tcW w:w="4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92"/>
        </w:trPr>
        <w:tc>
          <w:tcPr>
            <w:tcW w:w="3320" w:type="dxa"/>
            <w:vAlign w:val="bottom"/>
            <w:gridSpan w:val="3"/>
          </w:tcPr>
          <w:p>
            <w:pPr>
              <w:ind w:left="500"/>
              <w:spacing w:after="0"/>
              <w:rPr>
                <w:rFonts w:ascii="Arial" w:cs="Arial" w:eastAsia="Arial" w:hAnsi="Arial"/>
                <w:sz w:val="18"/>
                <w:szCs w:val="18"/>
                <w:color w:val="0000EE"/>
              </w:rPr>
            </w:pPr>
            <w:hyperlink w:anchor="page27">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8000" w:type="dxa"/>
            <w:vAlign w:val="bottom"/>
            <w:gridSpan w:val="6"/>
          </w:tcPr>
          <w:p>
            <w:pPr>
              <w:ind w:left="480"/>
              <w:spacing w:after="0"/>
              <w:rPr>
                <w:rFonts w:ascii="Arial" w:cs="Arial" w:eastAsia="Arial" w:hAnsi="Arial"/>
                <w:sz w:val="18"/>
                <w:szCs w:val="18"/>
                <w:color w:val="0000EE"/>
                <w:w w:val="99"/>
              </w:rPr>
            </w:pPr>
            <w:hyperlink w:anchor="page27">
              <w:r>
                <w:rPr>
                  <w:rFonts w:ascii="Arial" w:cs="Arial" w:eastAsia="Arial" w:hAnsi="Arial"/>
                  <w:sz w:val="18"/>
                  <w:szCs w:val="18"/>
                  <w:color w:val="0000EE"/>
                  <w:w w:val="99"/>
                </w:rPr>
                <w:t>Certification of Principal Executive Officer Required Under Rule 13a-14(a) and 15d-14(a) of the</w:t>
              </w:r>
            </w:hyperlink>
          </w:p>
        </w:tc>
      </w:tr>
      <w:tr>
        <w:trPr>
          <w:trHeight w:val="20"/>
        </w:trPr>
        <w:tc>
          <w:tcPr>
            <w:tcW w:w="5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6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8000" w:type="dxa"/>
            <w:vAlign w:val="bottom"/>
            <w:gridSpan w:val="6"/>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Securities Exchange Act of 1934, as amended.</w:t>
              </w:r>
            </w:hyperlink>
          </w:p>
        </w:tc>
      </w:tr>
      <w:tr>
        <w:trPr>
          <w:trHeight w:val="20"/>
        </w:trPr>
        <w:tc>
          <w:tcPr>
            <w:tcW w:w="3320" w:type="dxa"/>
            <w:vAlign w:val="bottom"/>
            <w:gridSpan w:val="3"/>
          </w:tcPr>
          <w:p>
            <w:pPr>
              <w:spacing w:after="0" w:line="20" w:lineRule="exact"/>
              <w:rPr>
                <w:sz w:val="1"/>
                <w:szCs w:val="1"/>
                <w:color w:val="auto"/>
              </w:rPr>
            </w:pPr>
          </w:p>
        </w:tc>
        <w:tc>
          <w:tcPr>
            <w:tcW w:w="3340" w:type="dxa"/>
            <w:vAlign w:val="bottom"/>
            <w:gridSpan w:val="2"/>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3320" w:type="dxa"/>
            <w:vAlign w:val="bottom"/>
            <w:gridSpan w:val="3"/>
          </w:tcPr>
          <w:p>
            <w:pPr>
              <w:ind w:left="500"/>
              <w:spacing w:after="0"/>
              <w:rPr>
                <w:rFonts w:ascii="Arial" w:cs="Arial" w:eastAsia="Arial" w:hAnsi="Arial"/>
                <w:sz w:val="18"/>
                <w:szCs w:val="18"/>
                <w:color w:val="0000EE"/>
              </w:rPr>
            </w:pPr>
            <w:hyperlink w:anchor="page28">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8000" w:type="dxa"/>
            <w:vAlign w:val="bottom"/>
            <w:gridSpan w:val="6"/>
          </w:tcPr>
          <w:p>
            <w:pPr>
              <w:ind w:left="480"/>
              <w:spacing w:after="0"/>
              <w:rPr>
                <w:rFonts w:ascii="Arial" w:cs="Arial" w:eastAsia="Arial" w:hAnsi="Arial"/>
                <w:sz w:val="18"/>
                <w:szCs w:val="18"/>
                <w:color w:val="0000EE"/>
              </w:rPr>
            </w:pPr>
            <w:hyperlink w:anchor="page28">
              <w:r>
                <w:rPr>
                  <w:rFonts w:ascii="Arial" w:cs="Arial" w:eastAsia="Arial" w:hAnsi="Arial"/>
                  <w:sz w:val="18"/>
                  <w:szCs w:val="18"/>
                  <w:color w:val="0000EE"/>
                </w:rPr>
                <w:t>Certification of Principal Financial Officer Required Under Rule 13a-14(a) and 15d-14(a) of the</w:t>
              </w:r>
            </w:hyperlink>
          </w:p>
        </w:tc>
      </w:tr>
      <w:tr>
        <w:trPr>
          <w:trHeight w:val="20"/>
        </w:trPr>
        <w:tc>
          <w:tcPr>
            <w:tcW w:w="5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740" w:type="dxa"/>
            <w:vAlign w:val="bottom"/>
            <w:gridSpan w:val="2"/>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8000" w:type="dxa"/>
            <w:vAlign w:val="bottom"/>
            <w:gridSpan w:val="6"/>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Securities Exchange Act of 1934, as amended.</w:t>
              </w:r>
            </w:hyperlink>
          </w:p>
        </w:tc>
      </w:tr>
      <w:tr>
        <w:trPr>
          <w:trHeight w:val="20"/>
        </w:trPr>
        <w:tc>
          <w:tcPr>
            <w:tcW w:w="3320" w:type="dxa"/>
            <w:vAlign w:val="bottom"/>
            <w:gridSpan w:val="3"/>
          </w:tcPr>
          <w:p>
            <w:pPr>
              <w:spacing w:after="0" w:line="20" w:lineRule="exact"/>
              <w:rPr>
                <w:sz w:val="1"/>
                <w:szCs w:val="1"/>
                <w:color w:val="auto"/>
              </w:rPr>
            </w:pPr>
          </w:p>
        </w:tc>
        <w:tc>
          <w:tcPr>
            <w:tcW w:w="3340" w:type="dxa"/>
            <w:vAlign w:val="bottom"/>
            <w:gridSpan w:val="2"/>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3320" w:type="dxa"/>
            <w:vAlign w:val="bottom"/>
            <w:gridSpan w:val="3"/>
          </w:tcPr>
          <w:p>
            <w:pPr>
              <w:ind w:left="500"/>
              <w:spacing w:after="0"/>
              <w:rPr>
                <w:rFonts w:ascii="Arial" w:cs="Arial" w:eastAsia="Arial" w:hAnsi="Arial"/>
                <w:sz w:val="18"/>
                <w:szCs w:val="18"/>
                <w:color w:val="0000EE"/>
              </w:rPr>
            </w:pPr>
            <w:hyperlink w:anchor="page29">
              <w:r>
                <w:rPr>
                  <w:rFonts w:ascii="Arial" w:cs="Arial" w:eastAsia="Arial" w:hAnsi="Arial"/>
                  <w:sz w:val="18"/>
                  <w:szCs w:val="18"/>
                  <w:color w:val="0000EE"/>
                </w:rPr>
                <w:t>32.</w:t>
              </w:r>
              <w:r>
                <w:rPr>
                  <w:rFonts w:ascii="Arial" w:cs="Arial" w:eastAsia="Arial" w:hAnsi="Arial"/>
                  <w:sz w:val="18"/>
                  <w:szCs w:val="18"/>
                  <w:u w:val="single" w:color="auto"/>
                  <w:color w:val="0000EE"/>
                </w:rPr>
                <w:t>1</w:t>
              </w:r>
            </w:hyperlink>
          </w:p>
        </w:tc>
        <w:tc>
          <w:tcPr>
            <w:tcW w:w="8000" w:type="dxa"/>
            <w:vAlign w:val="bottom"/>
            <w:gridSpan w:val="6"/>
          </w:tcPr>
          <w:p>
            <w:pPr>
              <w:spacing w:after="0"/>
              <w:rPr>
                <w:rFonts w:ascii="Arial" w:cs="Arial" w:eastAsia="Arial" w:hAnsi="Arial"/>
                <w:sz w:val="18"/>
                <w:szCs w:val="18"/>
                <w:color w:val="0000EE"/>
                <w:w w:val="93"/>
              </w:rPr>
            </w:pPr>
            <w:hyperlink w:anchor="page29">
              <w:r>
                <w:rPr>
                  <w:rFonts w:ascii="Arial" w:cs="Arial" w:eastAsia="Arial" w:hAnsi="Arial"/>
                  <w:sz w:val="18"/>
                  <w:szCs w:val="18"/>
                  <w:color w:val="0000EE"/>
                  <w:w w:val="93"/>
                </w:rPr>
                <w:t>Certification of Principal Executive Officer and Principal Financial Officer Required Under Rule 13a-14(b) of</w:t>
              </w:r>
            </w:hyperlink>
          </w:p>
        </w:tc>
      </w:tr>
      <w:tr>
        <w:trPr>
          <w:trHeight w:val="196"/>
        </w:trPr>
        <w:tc>
          <w:tcPr>
            <w:tcW w:w="500" w:type="dxa"/>
            <w:vAlign w:val="bottom"/>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520" w:type="dxa"/>
            <w:vAlign w:val="bottom"/>
          </w:tcPr>
          <w:p>
            <w:pPr>
              <w:spacing w:after="0"/>
              <w:rPr>
                <w:sz w:val="17"/>
                <w:szCs w:val="17"/>
                <w:color w:val="auto"/>
              </w:rPr>
            </w:pPr>
          </w:p>
        </w:tc>
        <w:tc>
          <w:tcPr>
            <w:tcW w:w="52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the Securities Exchange Act of 1934, as amended, and 18 U.S.C. §1350.</w:t>
              </w:r>
            </w:hyperlink>
          </w:p>
        </w:tc>
        <w:tc>
          <w:tcPr>
            <w:tcW w:w="2720" w:type="dxa"/>
            <w:vAlign w:val="bottom"/>
            <w:tcBorders>
              <w:top w:val="single" w:sz="8" w:color="0000EE"/>
            </w:tcBorders>
            <w:gridSpan w:val="2"/>
          </w:tcPr>
          <w:p>
            <w:pPr>
              <w:spacing w:after="0"/>
              <w:rPr>
                <w:sz w:val="17"/>
                <w:szCs w:val="17"/>
                <w:color w:val="auto"/>
              </w:rPr>
            </w:pPr>
          </w:p>
        </w:tc>
        <w:tc>
          <w:tcPr>
            <w:tcW w:w="60" w:type="dxa"/>
            <w:vAlign w:val="bottom"/>
          </w:tcPr>
          <w:p>
            <w:pPr>
              <w:spacing w:after="0"/>
              <w:rPr>
                <w:sz w:val="17"/>
                <w:szCs w:val="17"/>
                <w:color w:val="auto"/>
              </w:rPr>
            </w:pPr>
          </w:p>
        </w:tc>
      </w:tr>
      <w:tr>
        <w:trPr>
          <w:trHeight w:val="438"/>
        </w:trPr>
        <w:tc>
          <w:tcPr>
            <w:tcW w:w="800" w:type="dxa"/>
            <w:vAlign w:val="bottom"/>
            <w:gridSpan w:val="2"/>
          </w:tcPr>
          <w:p>
            <w:pPr>
              <w:ind w:left="500"/>
              <w:spacing w:after="0"/>
              <w:rPr>
                <w:sz w:val="20"/>
                <w:szCs w:val="20"/>
                <w:color w:val="auto"/>
              </w:rPr>
            </w:pPr>
            <w:r>
              <w:rPr>
                <w:rFonts w:ascii="Arial" w:cs="Arial" w:eastAsia="Arial" w:hAnsi="Arial"/>
                <w:sz w:val="18"/>
                <w:szCs w:val="18"/>
                <w:color w:val="auto"/>
                <w:w w:val="93"/>
              </w:rPr>
              <w:t>101</w:t>
            </w:r>
          </w:p>
        </w:tc>
        <w:tc>
          <w:tcPr>
            <w:tcW w:w="2520" w:type="dxa"/>
            <w:vAlign w:val="bottom"/>
          </w:tcPr>
          <w:p>
            <w:pPr>
              <w:spacing w:after="0"/>
              <w:rPr>
                <w:sz w:val="24"/>
                <w:szCs w:val="24"/>
                <w:color w:val="auto"/>
              </w:rPr>
            </w:pPr>
          </w:p>
        </w:tc>
        <w:tc>
          <w:tcPr>
            <w:tcW w:w="8000" w:type="dxa"/>
            <w:vAlign w:val="bottom"/>
            <w:gridSpan w:val="6"/>
          </w:tcPr>
          <w:p>
            <w:pPr>
              <w:ind w:left="480"/>
              <w:spacing w:after="0"/>
              <w:rPr>
                <w:sz w:val="20"/>
                <w:szCs w:val="20"/>
                <w:color w:val="auto"/>
              </w:rPr>
            </w:pPr>
            <w:r>
              <w:rPr>
                <w:rFonts w:ascii="Arial" w:cs="Arial" w:eastAsia="Arial" w:hAnsi="Arial"/>
                <w:sz w:val="18"/>
                <w:szCs w:val="18"/>
                <w:color w:val="auto"/>
                <w:w w:val="98"/>
              </w:rPr>
              <w:t>The following financial statements from the XBiotech Inc. Quarterly Report on Form 10-Q for the</w:t>
            </w:r>
          </w:p>
        </w:tc>
      </w:tr>
      <w:tr>
        <w:trPr>
          <w:trHeight w:val="216"/>
        </w:trPr>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8000" w:type="dxa"/>
            <w:vAlign w:val="bottom"/>
            <w:gridSpan w:val="6"/>
          </w:tcPr>
          <w:p>
            <w:pPr>
              <w:spacing w:after="0"/>
              <w:rPr>
                <w:sz w:val="20"/>
                <w:szCs w:val="20"/>
                <w:color w:val="auto"/>
              </w:rPr>
            </w:pPr>
            <w:r>
              <w:rPr>
                <w:rFonts w:ascii="Arial" w:cs="Arial" w:eastAsia="Arial" w:hAnsi="Arial"/>
                <w:sz w:val="18"/>
                <w:szCs w:val="18"/>
                <w:color w:val="auto"/>
                <w:w w:val="92"/>
              </w:rPr>
              <w:t>quarter ended June 30, 2019, formatted in Extensive Business Reporting Language (XBRL): (i) consolidated</w:t>
            </w:r>
          </w:p>
        </w:tc>
      </w:tr>
      <w:tr>
        <w:trPr>
          <w:trHeight w:val="216"/>
        </w:trPr>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8000" w:type="dxa"/>
            <w:vAlign w:val="bottom"/>
            <w:gridSpan w:val="6"/>
          </w:tcPr>
          <w:p>
            <w:pPr>
              <w:spacing w:after="0"/>
              <w:rPr>
                <w:sz w:val="20"/>
                <w:szCs w:val="20"/>
                <w:color w:val="auto"/>
              </w:rPr>
            </w:pPr>
            <w:r>
              <w:rPr>
                <w:rFonts w:ascii="Arial" w:cs="Arial" w:eastAsia="Arial" w:hAnsi="Arial"/>
                <w:sz w:val="18"/>
                <w:szCs w:val="18"/>
                <w:color w:val="auto"/>
                <w:w w:val="90"/>
              </w:rPr>
              <w:t>balance sheets, (ii) consolidated statements of operations, (iii) consolidated statements of comprehensive loss,</w:t>
            </w:r>
          </w:p>
        </w:tc>
      </w:tr>
      <w:tr>
        <w:trPr>
          <w:trHeight w:val="216"/>
        </w:trPr>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8000" w:type="dxa"/>
            <w:vAlign w:val="bottom"/>
            <w:gridSpan w:val="6"/>
          </w:tcPr>
          <w:p>
            <w:pPr>
              <w:spacing w:after="0"/>
              <w:rPr>
                <w:sz w:val="20"/>
                <w:szCs w:val="20"/>
                <w:color w:val="auto"/>
              </w:rPr>
            </w:pPr>
            <w:r>
              <w:rPr>
                <w:rFonts w:ascii="Arial" w:cs="Arial" w:eastAsia="Arial" w:hAnsi="Arial"/>
                <w:sz w:val="18"/>
                <w:szCs w:val="18"/>
                <w:color w:val="auto"/>
                <w:w w:val="89"/>
              </w:rPr>
              <w:t>(iv) ) consolidated statements of changes in shareholders’ equity; (v) consolidated statements of cash flows and</w:t>
            </w:r>
          </w:p>
        </w:tc>
      </w:tr>
      <w:tr>
        <w:trPr>
          <w:trHeight w:val="230"/>
        </w:trPr>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8000" w:type="dxa"/>
            <w:vAlign w:val="bottom"/>
            <w:gridSpan w:val="6"/>
          </w:tcPr>
          <w:p>
            <w:pPr>
              <w:spacing w:after="0"/>
              <w:rPr>
                <w:sz w:val="20"/>
                <w:szCs w:val="20"/>
                <w:color w:val="auto"/>
              </w:rPr>
            </w:pPr>
            <w:r>
              <w:rPr>
                <w:rFonts w:ascii="Arial" w:cs="Arial" w:eastAsia="Arial" w:hAnsi="Arial"/>
                <w:sz w:val="18"/>
                <w:szCs w:val="18"/>
                <w:color w:val="auto"/>
              </w:rPr>
              <w:t>(vi) notes to consolidated financial statements (detail tagged).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20"/>
          </w:cols>
          <w:pgMar w:left="240" w:top="688"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3"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2940" w:type="dxa"/>
            <w:vAlign w:val="bottom"/>
          </w:tcPr>
          <w:p>
            <w:pPr>
              <w:spacing w:after="0"/>
              <w:rPr>
                <w:sz w:val="20"/>
                <w:szCs w:val="20"/>
                <w:color w:val="auto"/>
              </w:rPr>
            </w:pPr>
            <w:r>
              <w:rPr>
                <w:rFonts w:ascii="Arial" w:cs="Arial" w:eastAsia="Arial" w:hAnsi="Arial"/>
                <w:sz w:val="18"/>
                <w:szCs w:val="18"/>
                <w:color w:val="auto"/>
              </w:rPr>
              <w:t>Date: August 9, 2019</w:t>
            </w:r>
          </w:p>
        </w:tc>
        <w:tc>
          <w:tcPr>
            <w:tcW w:w="2800" w:type="dxa"/>
            <w:vAlign w:val="bottom"/>
          </w:tcPr>
          <w:p>
            <w:pPr>
              <w:ind w:left="1380"/>
              <w:spacing w:after="0"/>
              <w:rPr>
                <w:sz w:val="20"/>
                <w:szCs w:val="20"/>
                <w:color w:val="auto"/>
              </w:rPr>
            </w:pPr>
            <w:r>
              <w:rPr>
                <w:rFonts w:ascii="Arial" w:cs="Arial" w:eastAsia="Arial" w:hAnsi="Arial"/>
                <w:sz w:val="18"/>
                <w:szCs w:val="18"/>
                <w:b w:val="1"/>
                <w:bCs w:val="1"/>
                <w:color w:val="auto"/>
              </w:rPr>
              <w:t>XBIOTECH INC.</w:t>
            </w:r>
          </w:p>
        </w:tc>
        <w:tc>
          <w:tcPr>
            <w:tcW w:w="5180" w:type="dxa"/>
            <w:vAlign w:val="bottom"/>
          </w:tcPr>
          <w:p>
            <w:pPr>
              <w:spacing w:after="0"/>
              <w:rPr>
                <w:sz w:val="20"/>
                <w:szCs w:val="20"/>
                <w:color w:val="auto"/>
              </w:rPr>
            </w:pPr>
          </w:p>
        </w:tc>
      </w:tr>
      <w:tr>
        <w:trPr>
          <w:trHeight w:val="432"/>
        </w:trPr>
        <w:tc>
          <w:tcPr>
            <w:tcW w:w="2940" w:type="dxa"/>
            <w:vAlign w:val="bottom"/>
          </w:tcPr>
          <w:p>
            <w:pPr>
              <w:spacing w:after="0"/>
              <w:rPr>
                <w:sz w:val="24"/>
                <w:szCs w:val="24"/>
                <w:color w:val="auto"/>
              </w:rPr>
            </w:pPr>
          </w:p>
        </w:tc>
        <w:tc>
          <w:tcPr>
            <w:tcW w:w="2800" w:type="dxa"/>
            <w:vAlign w:val="bottom"/>
          </w:tcPr>
          <w:p>
            <w:pPr>
              <w:ind w:left="1840"/>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/S/ John Simard</w:t>
            </w:r>
          </w:p>
        </w:tc>
      </w:tr>
      <w:tr>
        <w:trPr>
          <w:trHeight w:val="195"/>
        </w:trPr>
        <w:tc>
          <w:tcPr>
            <w:tcW w:w="29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5180" w:type="dxa"/>
            <w:vAlign w:val="bottom"/>
          </w:tcPr>
          <w:p>
            <w:pPr>
              <w:ind w:left="500"/>
              <w:spacing w:after="0" w:line="195" w:lineRule="exact"/>
              <w:rPr>
                <w:sz w:val="20"/>
                <w:szCs w:val="20"/>
                <w:color w:val="auto"/>
              </w:rPr>
            </w:pPr>
            <w:r>
              <w:rPr>
                <w:rFonts w:ascii="Arial" w:cs="Arial" w:eastAsia="Arial" w:hAnsi="Arial"/>
                <w:sz w:val="18"/>
                <w:szCs w:val="18"/>
                <w:color w:val="auto"/>
              </w:rPr>
              <w:t>John Simard</w:t>
            </w:r>
          </w:p>
        </w:tc>
      </w:tr>
      <w:tr>
        <w:trPr>
          <w:trHeight w:val="216"/>
        </w:trPr>
        <w:tc>
          <w:tcPr>
            <w:tcW w:w="29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5180" w:type="dxa"/>
            <w:vAlign w:val="bottom"/>
          </w:tcPr>
          <w:p>
            <w:pPr>
              <w:ind w:left="500"/>
              <w:spacing w:after="0"/>
              <w:rPr>
                <w:sz w:val="20"/>
                <w:szCs w:val="20"/>
                <w:color w:val="auto"/>
              </w:rPr>
            </w:pPr>
            <w:r>
              <w:rPr>
                <w:rFonts w:ascii="Arial" w:cs="Arial" w:eastAsia="Arial" w:hAnsi="Arial"/>
                <w:sz w:val="18"/>
                <w:szCs w:val="18"/>
                <w:color w:val="auto"/>
              </w:rPr>
              <w:t>President, Chief Executive Officer and Director (</w:t>
            </w:r>
            <w:r>
              <w:rPr>
                <w:rFonts w:ascii="Arial" w:cs="Arial" w:eastAsia="Arial" w:hAnsi="Arial"/>
                <w:sz w:val="18"/>
                <w:szCs w:val="18"/>
                <w:i w:val="1"/>
                <w:iCs w:val="1"/>
                <w:color w:val="auto"/>
              </w:rPr>
              <w:t>Principal</w:t>
            </w:r>
          </w:p>
        </w:tc>
      </w:tr>
      <w:tr>
        <w:trPr>
          <w:trHeight w:val="230"/>
        </w:trPr>
        <w:tc>
          <w:tcPr>
            <w:tcW w:w="29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i w:val="1"/>
                <w:iCs w:val="1"/>
                <w:color w:val="auto"/>
              </w:rPr>
              <w:t>Executive Officer</w:t>
            </w:r>
            <w:r>
              <w:rPr>
                <w:rFonts w:ascii="Arial" w:cs="Arial" w:eastAsia="Arial" w:hAnsi="Arial"/>
                <w:sz w:val="18"/>
                <w:szCs w:val="18"/>
                <w:color w:val="auto"/>
              </w:rPr>
              <w:t>)</w:t>
            </w:r>
          </w:p>
        </w:tc>
      </w:tr>
      <w:tr>
        <w:trPr>
          <w:trHeight w:val="648"/>
        </w:trPr>
        <w:tc>
          <w:tcPr>
            <w:tcW w:w="2940" w:type="dxa"/>
            <w:vAlign w:val="bottom"/>
          </w:tcPr>
          <w:p>
            <w:pPr>
              <w:spacing w:after="0"/>
              <w:rPr>
                <w:sz w:val="20"/>
                <w:szCs w:val="20"/>
                <w:color w:val="auto"/>
              </w:rPr>
            </w:pPr>
            <w:r>
              <w:rPr>
                <w:rFonts w:ascii="Arial" w:cs="Arial" w:eastAsia="Arial" w:hAnsi="Arial"/>
                <w:sz w:val="18"/>
                <w:szCs w:val="18"/>
                <w:color w:val="auto"/>
              </w:rPr>
              <w:t>Date: August 9, 2019</w:t>
            </w:r>
          </w:p>
        </w:tc>
        <w:tc>
          <w:tcPr>
            <w:tcW w:w="2800" w:type="dxa"/>
            <w:vAlign w:val="bottom"/>
          </w:tcPr>
          <w:p>
            <w:pPr>
              <w:ind w:left="1840"/>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/S/ Queena Han</w:t>
            </w:r>
          </w:p>
        </w:tc>
      </w:tr>
      <w:tr>
        <w:trPr>
          <w:trHeight w:val="195"/>
        </w:trPr>
        <w:tc>
          <w:tcPr>
            <w:tcW w:w="29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5180" w:type="dxa"/>
            <w:vAlign w:val="bottom"/>
          </w:tcPr>
          <w:p>
            <w:pPr>
              <w:ind w:left="500"/>
              <w:spacing w:after="0" w:line="195" w:lineRule="exact"/>
              <w:rPr>
                <w:sz w:val="20"/>
                <w:szCs w:val="20"/>
                <w:color w:val="auto"/>
              </w:rPr>
            </w:pPr>
            <w:r>
              <w:rPr>
                <w:rFonts w:ascii="Arial" w:cs="Arial" w:eastAsia="Arial" w:hAnsi="Arial"/>
                <w:sz w:val="18"/>
                <w:szCs w:val="18"/>
                <w:color w:val="auto"/>
              </w:rPr>
              <w:t>Queena Han</w:t>
            </w:r>
          </w:p>
        </w:tc>
      </w:tr>
      <w:tr>
        <w:trPr>
          <w:trHeight w:val="216"/>
        </w:trPr>
        <w:tc>
          <w:tcPr>
            <w:tcW w:w="29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5180" w:type="dxa"/>
            <w:vAlign w:val="bottom"/>
          </w:tcPr>
          <w:p>
            <w:pPr>
              <w:ind w:left="500"/>
              <w:spacing w:after="0"/>
              <w:rPr>
                <w:sz w:val="20"/>
                <w:szCs w:val="20"/>
                <w:color w:val="auto"/>
              </w:rPr>
            </w:pPr>
            <w:r>
              <w:rPr>
                <w:rFonts w:ascii="Arial" w:cs="Arial" w:eastAsia="Arial" w:hAnsi="Arial"/>
                <w:sz w:val="18"/>
                <w:szCs w:val="18"/>
                <w:color w:val="auto"/>
                <w:w w:val="92"/>
              </w:rPr>
              <w:t>Vice President, Finance and Human Resources, and Secretary</w:t>
            </w:r>
          </w:p>
        </w:tc>
      </w:tr>
      <w:tr>
        <w:trPr>
          <w:trHeight w:val="230"/>
        </w:trPr>
        <w:tc>
          <w:tcPr>
            <w:tcW w:w="29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 and Principal Accounting Officer</w:t>
            </w: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Simard, certify that:</w:t>
      </w:r>
    </w:p>
    <w:p>
      <w:pPr>
        <w:spacing w:after="0" w:line="225"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XBiotech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980" w:right="300" w:hanging="324"/>
        <w:spacing w:after="0" w:line="264" w:lineRule="auto"/>
        <w:tabs>
          <w:tab w:leader="none" w:pos="901"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80" w:right="540" w:hanging="324"/>
        <w:spacing w:after="0" w:line="264" w:lineRule="auto"/>
        <w:tabs>
          <w:tab w:leader="none" w:pos="911"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right="720" w:hanging="324"/>
        <w:spacing w:after="0" w:line="342" w:lineRule="auto"/>
        <w:tabs>
          <w:tab w:leader="none" w:pos="901"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300" w:hanging="324"/>
        <w:spacing w:after="0" w:line="264" w:lineRule="auto"/>
        <w:tabs>
          <w:tab w:leader="none" w:pos="911"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660" w:firstLine="8"/>
        <w:spacing w:after="0" w:line="308" w:lineRule="auto"/>
        <w:tabs>
          <w:tab w:leader="none" w:pos="1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right="200" w:hanging="324"/>
        <w:spacing w:after="0" w:line="308" w:lineRule="auto"/>
        <w:tabs>
          <w:tab w:leader="none" w:pos="901" w:val="left"/>
        </w:tabs>
        <w:numPr>
          <w:ilvl w:val="1"/>
          <w:numId w:val="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right="180" w:hanging="324"/>
        <w:spacing w:after="0" w:line="277" w:lineRule="auto"/>
        <w:tabs>
          <w:tab w:leader="none" w:pos="911"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2019</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John Simard</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Simard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 and President</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246620"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Queena Han, certify that:</w:t>
      </w:r>
    </w:p>
    <w:p>
      <w:pPr>
        <w:spacing w:after="0" w:line="225"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XBiotech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980" w:right="300" w:hanging="324"/>
        <w:spacing w:after="0" w:line="264" w:lineRule="auto"/>
        <w:tabs>
          <w:tab w:leader="none" w:pos="901"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80" w:right="540" w:hanging="324"/>
        <w:spacing w:after="0" w:line="264" w:lineRule="auto"/>
        <w:tabs>
          <w:tab w:leader="none" w:pos="911"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right="720" w:hanging="324"/>
        <w:spacing w:after="0" w:line="342" w:lineRule="auto"/>
        <w:tabs>
          <w:tab w:leader="none" w:pos="901"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300" w:hanging="324"/>
        <w:spacing w:after="0" w:line="264" w:lineRule="auto"/>
        <w:tabs>
          <w:tab w:leader="none" w:pos="911"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660" w:firstLine="8"/>
        <w:spacing w:after="0" w:line="308" w:lineRule="auto"/>
        <w:tabs>
          <w:tab w:leader="none" w:pos="1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right="200" w:hanging="324"/>
        <w:spacing w:after="0" w:line="308" w:lineRule="auto"/>
        <w:tabs>
          <w:tab w:leader="none" w:pos="901" w:val="left"/>
        </w:tabs>
        <w:numPr>
          <w:ilvl w:val="1"/>
          <w:numId w:val="1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right="180" w:hanging="324"/>
        <w:spacing w:after="0" w:line="277" w:lineRule="auto"/>
        <w:tabs>
          <w:tab w:leader="none" w:pos="911"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2019</w:t>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/S/ QUEENA HAN</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Queena Han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Vice President, Finance and Human Resources and Secretary</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ind w:left="1048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AND PRINCIPAL FINANCIAL OFFICER PURSUANT TO 18 U.S.C. SECTION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80" w:firstLine="648"/>
        <w:spacing w:after="0" w:line="286" w:lineRule="auto"/>
        <w:rPr>
          <w:sz w:val="20"/>
          <w:szCs w:val="20"/>
          <w:color w:val="auto"/>
        </w:rPr>
      </w:pPr>
      <w:r>
        <w:rPr>
          <w:rFonts w:ascii="Arial" w:cs="Arial" w:eastAsia="Arial" w:hAnsi="Arial"/>
          <w:sz w:val="17"/>
          <w:szCs w:val="17"/>
          <w:color w:val="auto"/>
        </w:rPr>
        <w:t>In connection with the Quarterly Report of XBiotech Inc. on Form 10-Q for the period ended June 30, 2019 as filed with the Securities and Exchange Commission on the date hereof (the “Report”), I, John Simard, Chief Executive Officer and President of the Company, certify, pursuant to 18 U.S.C. §1350, as adopted pursuant to §906 of the Sarbanes-Oxley Act of 2002, that to the best of my knowledge:</w:t>
      </w:r>
    </w:p>
    <w:p>
      <w:pPr>
        <w:spacing w:after="0" w:line="166" w:lineRule="exact"/>
        <w:rPr>
          <w:sz w:val="20"/>
          <w:szCs w:val="20"/>
          <w:color w:val="auto"/>
        </w:rPr>
      </w:pPr>
    </w:p>
    <w:p>
      <w:pPr>
        <w:ind w:left="920" w:hanging="264"/>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XBiotech Inc.</w:t>
      </w:r>
    </w:p>
    <w:p>
      <w:pPr>
        <w:spacing w:after="0" w:line="24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/S/JOHN SIMARD</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John Simard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Chief Executive Officer and President</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August 9, 2019</w:t>
      </w:r>
    </w:p>
    <w:p>
      <w:pPr>
        <w:spacing w:after="0" w:line="211"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In connection with the Quarterly Report of XBiotech Inc. on Form 10-Q for the period ended June 30, 2019, as filed with the Securities and Exchange Commission on the date hereof (the “Report”), I, Queena Han, Vice President of Finance, Human Resources and Secretary of the Company, certify, pursuant to 18 U.S.C. §1350, as adopted pursuant to §906 of the Sarbanes-Oxley Act of 2002, that to the best of my knowledge:</w:t>
      </w:r>
    </w:p>
    <w:p>
      <w:pPr>
        <w:spacing w:after="0" w:line="166" w:lineRule="exact"/>
        <w:rPr>
          <w:sz w:val="20"/>
          <w:szCs w:val="20"/>
          <w:color w:val="auto"/>
        </w:rPr>
      </w:pPr>
    </w:p>
    <w:p>
      <w:pPr>
        <w:ind w:left="920" w:hanging="264"/>
        <w:spacing w:after="0"/>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XBiotech Inc.</w:t>
      </w:r>
    </w:p>
    <w:p>
      <w:pPr>
        <w:spacing w:after="0" w:line="244" w:lineRule="exact"/>
        <w:rPr>
          <w:sz w:val="20"/>
          <w:szCs w:val="20"/>
          <w:color w:val="auto"/>
        </w:rPr>
      </w:pPr>
    </w:p>
    <w:p>
      <w:pPr>
        <w:ind w:left="6900"/>
        <w:spacing w:after="0"/>
        <w:rPr>
          <w:sz w:val="20"/>
          <w:szCs w:val="20"/>
          <w:color w:val="auto"/>
        </w:rPr>
      </w:pPr>
      <w:r>
        <w:rPr>
          <w:rFonts w:ascii="Arial" w:cs="Arial" w:eastAsia="Arial" w:hAnsi="Arial"/>
          <w:sz w:val="18"/>
          <w:szCs w:val="18"/>
          <w:b w:val="1"/>
          <w:bCs w:val="1"/>
          <w:color w:val="auto"/>
        </w:rPr>
        <w:t>/S/ QUEENA HAN</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Queena Han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Vice President, Finance and Human Resources and Secretary</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August 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246620"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1."/>
      <w:numFmt w:val="decimal"/>
      <w:start w:val="2"/>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1."/>
      <w:numFmt w:val="decimal"/>
      <w:start w:val="3"/>
    </w:lvl>
  </w:abstractNum>
  <w:abstractNum w:abstractNumId="7">
    <w:nsid w:val="4DB127F8"/>
    <w:multiLevelType w:val="hybridMultilevel"/>
    <w:lvl w:ilvl="0">
      <w:lvlJc w:val="left"/>
      <w:lvlText w:val="%1."/>
      <w:numFmt w:val="decimal"/>
      <w:start w:val="5"/>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2019-12-28T07:20:05Z</dcterms:created>
  <dcterms:modified xsi:type="dcterms:W3CDTF">2019-12-28T07:20:05Z</dcterms:modified>
</cp:coreProperties>
</file>