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220" w:right="3860" w:hanging="4212"/>
        <w:spacing w:after="0" w:line="547" w:lineRule="auto"/>
        <w:tabs>
          <w:tab w:leader="none" w:pos="5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jc w:val="center"/>
        <w:ind w:right="-19"/>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206"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2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5217 Winnebago Ln, Austin, TX 78744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 no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XBIT</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24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May 11, 2020, there were 28,852,927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584"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460" w:type="dxa"/>
            <w:vAlign w:val="bottom"/>
            <w:gridSpan w:val="5"/>
          </w:tcPr>
          <w:p>
            <w:pPr>
              <w:jc w:val="center"/>
              <w:ind w:right="3300"/>
              <w:spacing w:after="0"/>
              <w:rPr>
                <w:sz w:val="20"/>
                <w:szCs w:val="20"/>
                <w:color w:val="auto"/>
              </w:rPr>
            </w:pPr>
            <w:r>
              <w:rPr>
                <w:rFonts w:ascii="Arial" w:cs="Arial" w:eastAsia="Arial" w:hAnsi="Arial"/>
                <w:sz w:val="18"/>
                <w:szCs w:val="18"/>
                <w:b w:val="1"/>
                <w:bCs w:val="1"/>
                <w:color w:val="auto"/>
              </w:rPr>
              <w:t>PART I—FINANCIAL INFORMATION</w:t>
            </w:r>
          </w:p>
        </w:tc>
        <w:tc>
          <w:tcPr>
            <w:tcW w:w="700" w:type="dxa"/>
            <w:vAlign w:val="bottom"/>
          </w:tcPr>
          <w:p>
            <w:pPr>
              <w:spacing w:after="0"/>
              <w:rPr>
                <w:sz w:val="17"/>
                <w:szCs w:val="17"/>
                <w:color w:val="auto"/>
              </w:rPr>
            </w:pPr>
          </w:p>
        </w:tc>
      </w:tr>
      <w:tr>
        <w:trPr>
          <w:trHeight w:val="318"/>
        </w:trPr>
        <w:tc>
          <w:tcPr>
            <w:tcW w:w="13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2640" w:type="dxa"/>
            <w:vAlign w:val="bottom"/>
            <w:gridSpan w:val="2"/>
          </w:tcPr>
          <w:p>
            <w:pPr>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Consolidated Financial Statements</w:t>
              </w:r>
            </w:hyperlink>
          </w:p>
        </w:tc>
        <w:tc>
          <w:tcPr>
            <w:tcW w:w="3160" w:type="dxa"/>
            <w:vAlign w:val="bottom"/>
            <w:tcBorders>
              <w:top w:val="single" w:sz="8" w:color="auto"/>
            </w:tcBorders>
            <w:gridSpan w:val="3"/>
          </w:tcPr>
          <w:p>
            <w:pPr>
              <w:spacing w:after="0"/>
              <w:rPr>
                <w:sz w:val="24"/>
                <w:szCs w:val="24"/>
                <w:color w:val="auto"/>
              </w:rPr>
            </w:pPr>
          </w:p>
        </w:tc>
        <w:tc>
          <w:tcPr>
            <w:tcW w:w="33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13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Sheets as of March 31, 2020 (unaudited) and December 31, 2019</w:t>
              </w:r>
            </w:hyperlink>
          </w:p>
        </w:tc>
        <w:tc>
          <w:tcPr>
            <w:tcW w:w="70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97"/>
        </w:trPr>
        <w:tc>
          <w:tcPr>
            <w:tcW w:w="13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w w:val="96"/>
              </w:rPr>
            </w:pPr>
            <w:hyperlink w:anchor="page7">
              <w:r>
                <w:rPr>
                  <w:rFonts w:ascii="Arial" w:cs="Arial" w:eastAsia="Arial" w:hAnsi="Arial"/>
                  <w:sz w:val="18"/>
                  <w:szCs w:val="18"/>
                  <w:u w:val="single" w:color="auto"/>
                  <w:color w:val="0000EE"/>
                  <w:w w:val="96"/>
                </w:rPr>
                <w:t>Consolidated Statements of Operations for the Three Months Ended March 31, 2020 (unaudited) and 2019(unaudited)</w:t>
              </w:r>
            </w:hyperlink>
          </w:p>
        </w:tc>
        <w:tc>
          <w:tcPr>
            <w:tcW w:w="7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57"/>
        </w:trPr>
        <w:tc>
          <w:tcPr>
            <w:tcW w:w="1360" w:type="dxa"/>
            <w:vAlign w:val="bottom"/>
          </w:tcPr>
          <w:p>
            <w:pPr>
              <w:spacing w:after="0"/>
              <w:rPr>
                <w:sz w:val="22"/>
                <w:szCs w:val="22"/>
                <w:color w:val="auto"/>
              </w:rPr>
            </w:pPr>
          </w:p>
        </w:tc>
        <w:tc>
          <w:tcPr>
            <w:tcW w:w="84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Comprehensive Loss for the Three Months Ended March 31, 2020 (unaudited) and 2019</w:t>
              </w:r>
            </w:hyperlink>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700" w:type="dxa"/>
            <w:vAlign w:val="bottom"/>
          </w:tcPr>
          <w:p>
            <w:pPr>
              <w:jc w:val="right"/>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3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w w:val="97"/>
              </w:rPr>
            </w:pPr>
            <w:hyperlink w:anchor="page9">
              <w:r>
                <w:rPr>
                  <w:rFonts w:ascii="Arial" w:cs="Arial" w:eastAsia="Arial" w:hAnsi="Arial"/>
                  <w:sz w:val="18"/>
                  <w:szCs w:val="18"/>
                  <w:u w:val="single" w:color="auto"/>
                  <w:color w:val="0000EE"/>
                  <w:w w:val="97"/>
                </w:rPr>
                <w:t>Consolidated Statements of Shareholders’ Equity for the Three Months Ended March 31, 2020 and 2019 (unaudited)</w:t>
              </w:r>
            </w:hyperlink>
          </w:p>
        </w:tc>
        <w:tc>
          <w:tcPr>
            <w:tcW w:w="7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97"/>
        </w:trPr>
        <w:tc>
          <w:tcPr>
            <w:tcW w:w="13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w w:val="95"/>
              </w:rPr>
            </w:pPr>
            <w:hyperlink w:anchor="page10">
              <w:r>
                <w:rPr>
                  <w:rFonts w:ascii="Arial" w:cs="Arial" w:eastAsia="Arial" w:hAnsi="Arial"/>
                  <w:sz w:val="18"/>
                  <w:szCs w:val="18"/>
                  <w:u w:val="single" w:color="auto"/>
                  <w:color w:val="0000EE"/>
                  <w:w w:val="95"/>
                </w:rPr>
                <w:t>Consolidated Statements of Cash Flows for the Three Months Ended March 31, 2020 (unaudited) and 2019 (unaudited)</w:t>
              </w:r>
            </w:hyperlink>
          </w:p>
        </w:tc>
        <w:tc>
          <w:tcPr>
            <w:tcW w:w="70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97"/>
        </w:trPr>
        <w:tc>
          <w:tcPr>
            <w:tcW w:w="13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Consolidated Financial Statements (unaudited)</w:t>
              </w:r>
            </w:hyperlink>
          </w:p>
        </w:tc>
        <w:tc>
          <w:tcPr>
            <w:tcW w:w="70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11</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21</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70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257"/>
        </w:trPr>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460" w:type="dxa"/>
            <w:vAlign w:val="bottom"/>
            <w:gridSpan w:val="5"/>
          </w:tcPr>
          <w:p>
            <w:pPr>
              <w:jc w:val="center"/>
              <w:ind w:right="3280"/>
              <w:spacing w:after="0"/>
              <w:rPr>
                <w:sz w:val="20"/>
                <w:szCs w:val="20"/>
                <w:color w:val="auto"/>
              </w:rPr>
            </w:pPr>
            <w:r>
              <w:rPr>
                <w:rFonts w:ascii="Arial" w:cs="Arial" w:eastAsia="Arial" w:hAnsi="Arial"/>
                <w:sz w:val="18"/>
                <w:szCs w:val="18"/>
                <w:b w:val="1"/>
                <w:bCs w:val="1"/>
                <w:color w:val="auto"/>
              </w:rPr>
              <w:t>PART II—OTHER INFORMATION</w:t>
            </w:r>
          </w:p>
        </w:tc>
        <w:tc>
          <w:tcPr>
            <w:tcW w:w="700" w:type="dxa"/>
            <w:vAlign w:val="bottom"/>
          </w:tcPr>
          <w:p>
            <w:pPr>
              <w:spacing w:after="0"/>
              <w:rPr>
                <w:sz w:val="22"/>
                <w:szCs w:val="22"/>
                <w:color w:val="auto"/>
              </w:rPr>
            </w:pPr>
          </w:p>
        </w:tc>
      </w:tr>
      <w:tr>
        <w:trPr>
          <w:trHeight w:val="318"/>
        </w:trPr>
        <w:tc>
          <w:tcPr>
            <w:tcW w:w="13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w:t>
              </w:r>
            </w:hyperlink>
          </w:p>
        </w:tc>
        <w:tc>
          <w:tcPr>
            <w:tcW w:w="280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2860" w:type="dxa"/>
            <w:vAlign w:val="bottom"/>
            <w:tcBorders>
              <w:top w:val="single" w:sz="8" w:color="auto"/>
            </w:tcBorders>
          </w:tcPr>
          <w:p>
            <w:pPr>
              <w:spacing w:after="0"/>
              <w:rPr>
                <w:sz w:val="24"/>
                <w:szCs w:val="24"/>
                <w:color w:val="auto"/>
              </w:rPr>
            </w:pPr>
          </w:p>
        </w:tc>
        <w:tc>
          <w:tcPr>
            <w:tcW w:w="3440" w:type="dxa"/>
            <w:vAlign w:val="bottom"/>
            <w:gridSpan w:val="3"/>
          </w:tcPr>
          <w:p>
            <w:pPr>
              <w:spacing w:after="0"/>
              <w:rPr>
                <w:sz w:val="24"/>
                <w:szCs w:val="24"/>
                <w:color w:val="auto"/>
              </w:rPr>
            </w:pPr>
          </w:p>
        </w:tc>
        <w:tc>
          <w:tcPr>
            <w:tcW w:w="70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Defaults Upon Senior Securities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97"/>
        </w:trPr>
        <w:tc>
          <w:tcPr>
            <w:tcW w:w="136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w:t>
              </w:r>
            </w:hyperlink>
          </w:p>
        </w:tc>
        <w:tc>
          <w:tcPr>
            <w:tcW w:w="9100" w:type="dxa"/>
            <w:vAlign w:val="bottom"/>
            <w:gridSpan w:val="7"/>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70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bl>
    <w:p>
      <w:pPr>
        <w:spacing w:after="0" w:line="242"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7" w:lineRule="exact"/>
        <w:rPr>
          <w:sz w:val="20"/>
          <w:szCs w:val="20"/>
          <w:color w:val="auto"/>
        </w:rPr>
      </w:pPr>
    </w:p>
    <w:p>
      <w:pPr>
        <w:jc w:val="both"/>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potential impacts due to the coronavirus pandemic such as delays, interruptions or other adverse effects to clinical trials, delays in manufacturing and supply chain interruptions, and the overall impact of the coronavirus pandemic on our business, financial condition and results of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regulatory approval to market and sell our product candidates in the United States, Europe and elsewhere;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initiation, timing, cost, progress and success of our research and development programs, preclinical studies and clinical trials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the sale of our product candidates in the United States, Europe and elsewhere;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ability to meet our drug manufacturing and clinical trial management obligations under our contractual arrangements with Janssen;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ability to protect our intellectual property and operate our business without infringing upon the intellectual property rights of others;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therapeutic benefits, effectiveness and safety of our product candidates;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accuracy of our estimates of the size and characteristics of the markets that may be addressed by our products and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and clinical utility of our future products,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market risk, including interest rate changes, foreign currency fluctuations and regional or global economic impacts caused by public health threats, such as the outbreak of coronavirus or other infectious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belief in the sufficiency of our cash flows to meet our needs for at least the next 12 to 24 months;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and projected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and our needs for additional financing.</w:t>
      </w:r>
    </w:p>
    <w:p>
      <w:pPr>
        <w:spacing w:after="0" w:line="200" w:lineRule="exact"/>
        <w:rPr>
          <w:sz w:val="20"/>
          <w:szCs w:val="20"/>
          <w:color w:val="auto"/>
        </w:rPr>
      </w:pPr>
    </w:p>
    <w:p>
      <w:pPr>
        <w:spacing w:after="0" w:line="24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2019 filed with the SEC on March 16, 2020, and under the heading “Risk Factors”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cost of goods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receivable</w:t>
      </w:r>
    </w:p>
    <w:p>
      <w:pPr>
        <w:spacing w:after="0" w:line="9" w:lineRule="exact"/>
        <w:rPr>
          <w:sz w:val="20"/>
          <w:szCs w:val="20"/>
          <w:color w:val="auto"/>
        </w:rPr>
      </w:pPr>
    </w:p>
    <w:p>
      <w:pPr>
        <w:ind w:right="540" w:firstLine="180"/>
        <w:spacing w:after="0" w:line="266" w:lineRule="auto"/>
        <w:rPr>
          <w:sz w:val="20"/>
          <w:szCs w:val="20"/>
          <w:color w:val="auto"/>
        </w:rPr>
      </w:pPr>
      <w:r>
        <w:rPr>
          <w:rFonts w:ascii="Arial" w:cs="Arial" w:eastAsia="Arial" w:hAnsi="Arial"/>
          <w:sz w:val="18"/>
          <w:szCs w:val="18"/>
          <w:color w:val="auto"/>
        </w:rPr>
        <w:t>Prepaid expenses and other current assets Total current assets</w:t>
      </w: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Escrow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4440"/>
        <w:spacing w:after="0"/>
        <w:rPr>
          <w:sz w:val="20"/>
          <w:szCs w:val="20"/>
          <w:color w:val="auto"/>
        </w:rPr>
      </w:pPr>
      <w:r>
        <w:rPr>
          <w:rFonts w:ascii="Arial" w:cs="Arial" w:eastAsia="Arial" w:hAnsi="Arial"/>
          <w:sz w:val="17"/>
          <w:szCs w:val="17"/>
          <w:color w:val="auto"/>
        </w:rPr>
        <w:t>Consolidated Balance Sheets</w:t>
      </w:r>
    </w:p>
    <w:p>
      <w:pPr>
        <w:spacing w:after="0" w:line="21" w:lineRule="exact"/>
        <w:rPr>
          <w:sz w:val="20"/>
          <w:szCs w:val="20"/>
          <w:color w:val="auto"/>
        </w:rPr>
      </w:pPr>
    </w:p>
    <w:p>
      <w:pPr>
        <w:jc w:val="center"/>
        <w:ind w:right="4440"/>
        <w:spacing w:after="0"/>
        <w:rPr>
          <w:sz w:val="20"/>
          <w:szCs w:val="20"/>
          <w:color w:val="auto"/>
        </w:rPr>
      </w:pPr>
      <w:r>
        <w:rPr>
          <w:rFonts w:ascii="Arial" w:cs="Arial" w:eastAsia="Arial" w:hAnsi="Arial"/>
          <w:sz w:val="15"/>
          <w:szCs w:val="15"/>
          <w:color w:val="auto"/>
        </w:rPr>
        <w:t>(in thousands, except share data)</w:t>
      </w:r>
    </w:p>
    <w:p>
      <w:pPr>
        <w:spacing w:after="0" w:line="241" w:lineRule="exact"/>
        <w:rPr>
          <w:sz w:val="20"/>
          <w:szCs w:val="20"/>
          <w:color w:val="auto"/>
        </w:rPr>
      </w:pPr>
    </w:p>
    <w:tbl>
      <w:tblPr>
        <w:tblLayout w:type="fixed"/>
        <w:tblInd w:w="356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March 31, 2020</w:t>
            </w: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December 31, 2019</w:t>
            </w:r>
          </w:p>
        </w:tc>
      </w:tr>
      <w:tr>
        <w:trPr>
          <w:trHeight w:val="234"/>
        </w:trPr>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62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241,540</w:t>
            </w:r>
          </w:p>
        </w:tc>
        <w:tc>
          <w:tcPr>
            <w:tcW w:w="5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714,594</w:t>
            </w:r>
          </w:p>
        </w:tc>
      </w:tr>
      <w:tr>
        <w:trPr>
          <w:trHeight w:val="216"/>
        </w:trPr>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9,681</w:t>
            </w:r>
          </w:p>
        </w:tc>
        <w:tc>
          <w:tcPr>
            <w:tcW w:w="5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5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3,793</w:t>
            </w:r>
          </w:p>
        </w:tc>
        <w:tc>
          <w:tcPr>
            <w:tcW w:w="5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1,669</w:t>
            </w:r>
          </w:p>
        </w:tc>
      </w:tr>
      <w:tr>
        <w:trPr>
          <w:trHeight w:val="195"/>
        </w:trPr>
        <w:tc>
          <w:tcPr>
            <w:tcW w:w="120" w:type="dxa"/>
            <w:vAlign w:val="bottom"/>
          </w:tcPr>
          <w:p>
            <w:pPr>
              <w:spacing w:after="0"/>
              <w:rPr>
                <w:sz w:val="16"/>
                <w:szCs w:val="16"/>
                <w:color w:val="auto"/>
              </w:rPr>
            </w:pPr>
          </w:p>
        </w:tc>
        <w:tc>
          <w:tcPr>
            <w:tcW w:w="14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257,896</w:t>
            </w:r>
          </w:p>
        </w:tc>
        <w:tc>
          <w:tcPr>
            <w:tcW w:w="58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716,263</w:t>
            </w:r>
          </w:p>
        </w:tc>
      </w:tr>
      <w:tr>
        <w:trPr>
          <w:trHeight w:val="216"/>
        </w:trPr>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25,034</w:t>
            </w:r>
          </w:p>
        </w:tc>
        <w:tc>
          <w:tcPr>
            <w:tcW w:w="5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25,171</w:t>
            </w:r>
          </w:p>
        </w:tc>
      </w:tr>
      <w:tr>
        <w:trPr>
          <w:trHeight w:val="229"/>
        </w:trPr>
        <w:tc>
          <w:tcPr>
            <w:tcW w:w="12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5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30"/>
        </w:trPr>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358,373</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816,877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-1722120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-1439545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-1165225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-890905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-599440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-325120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20" w:space="720"/>
            <w:col w:w="680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5,649</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4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 payable</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1,715</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49,361</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60,190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liabilities: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payable - non-current</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11,291</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4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no par value, unlimited shares authorized, 28,852,927 and 41,519,633 shares outstanding at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March 31, 2020 and December 31, 2019, respectively</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242,942</w:t>
            </w: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324,808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104,156</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430,929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347,082</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755,631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358,373</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816,877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9"/>
              </w:rPr>
              <w:t>Three Month Ended March 31,</w:t>
            </w:r>
          </w:p>
        </w:tc>
      </w:tr>
      <w:tr>
        <w:trPr>
          <w:trHeight w:val="229"/>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8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(unaudited)</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Manufacturing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trial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9,681</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12,681</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Manufacturing cost</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2,166</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trial cost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7,508</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9,674</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4,527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5,178</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5,805</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1,898</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exchange loss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Shares used to compute basic net loss per share</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36,169,493</w:t>
            </w:r>
          </w:p>
        </w:tc>
        <w:tc>
          <w:tcPr>
            <w:tcW w:w="2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35,977,422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30"/>
        </w:trPr>
        <w:tc>
          <w:tcPr>
            <w:tcW w:w="800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80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(unaudited)</w:t>
            </w:r>
          </w:p>
        </w:tc>
      </w:tr>
      <w:tr>
        <w:trPr>
          <w:trHeight w:val="209"/>
        </w:trPr>
        <w:tc>
          <w:tcPr>
            <w:tcW w:w="8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Compre-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Common Stock</w:t>
            </w: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hensive Income</w:t>
            </w: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29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Number of Shares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Deficit (Equity)</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41,519</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324,808</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430,929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755,631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Tender offer buyback</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(326,760)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adjustment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under stock</w:t>
            </w: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option plan</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7,918</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r>
      <w:tr>
        <w:trPr>
          <w:trHeight w:val="230"/>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3,456</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3,456</w:t>
            </w:r>
          </w:p>
        </w:tc>
      </w:tr>
      <w:tr>
        <w:trPr>
          <w:trHeight w:val="22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28,853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242,942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104,155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347,082</w:t>
            </w:r>
          </w:p>
        </w:tc>
      </w:tr>
      <w:tr>
        <w:trPr>
          <w:trHeight w:val="20"/>
        </w:trPr>
        <w:tc>
          <w:tcPr>
            <w:tcW w:w="2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26"/>
        </w:trPr>
        <w:tc>
          <w:tcPr>
            <w:tcW w:w="2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Compre-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Common Stock</w:t>
            </w: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hensive Income</w:t>
            </w:r>
          </w:p>
        </w:tc>
        <w:tc>
          <w:tcPr>
            <w:tcW w:w="20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29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Number of Shares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Deficit</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35,900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279,353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(5,864)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under stock</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option plan</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Collection of stock subscription</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receivable</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570</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36,090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280,664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36,983</w:t>
            </w:r>
          </w:p>
        </w:tc>
      </w:tr>
      <w:tr>
        <w:trPr>
          <w:trHeight w:val="20"/>
        </w:trPr>
        <w:tc>
          <w:tcPr>
            <w:tcW w:w="2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0"/>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8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(unaudited)</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 receivable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(9,681)</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cost of goods sold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payable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(47,640)</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(60,673)</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(4,677)</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repurchases of common stock and warrants, net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Issuance of common stock under stock option plan</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7,918</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(412,082)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(473,054)</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(3,804)</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714,594</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Subscription receivable</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315"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3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4" w:lineRule="exact"/>
        <w:rPr>
          <w:sz w:val="20"/>
          <w:szCs w:val="20"/>
          <w:color w:val="auto"/>
        </w:rPr>
      </w:pPr>
    </w:p>
    <w:p>
      <w:pPr>
        <w:ind w:right="80" w:firstLine="648"/>
        <w:spacing w:after="0" w:line="230"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20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All of these risks are likely to be exacerbated by the outbreak of the novel strain of coronavirus, SARS-CoV-2 (“COVID-19”) and its ongoing impact, which has disrupted our business operations and will continue to do so. We cannot determine at this time the length or severity of these disruptions. The Company’s ability to fund its planned clinical operations, including completion of its planned trials, is expected to depend on the amount and timing of cash receipts from future collaboration or product sales and/or financing transactions. On December 30, 2020, the Company entered into a clinical manufacturing agreement and a clinical trial service agreement with Janssen Biotech Inc. The Company believes that its cash and cash equivalents of $241.5 million at March 31, 2020, as well as revenue generated from the Janssen contracts will enable the Company to achieve several major inflection points, including potential new clinical studies with our lead product candidate. We expect to have sufficient cash through one year from the report issuance date.</w:t>
      </w:r>
    </w:p>
    <w:p>
      <w:pPr>
        <w:spacing w:after="0" w:line="181"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March 31, 2020 and December 31, 2019, the results of its operations and comprehensive loss for the three month periods ended March 31, 2020 and 2019, and the cash flows for the three month periods ended March 31, 2020 and 2019.</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Janssen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its Janssen Agreements as follows.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entered into its clinical manufacturing and clinical trial services arrangements in connection with its sale of certain intellectual property on December 30, 2019. These contracts commenced January 1, 2020. While these agreements are not considered contracts with a customer based on the terms thereof, we are applying the revenue recognition guidance by analogy.</w:t>
      </w:r>
    </w:p>
    <w:p>
      <w:pPr>
        <w:spacing w:after="0" w:line="184"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 xml:space="preserve">XBiotech is still in the research and development phase; however, the eventual output of the Company’s intended ordinary activities will be the licensing of intellectual property and/or sale of commercialized compounds for use in pharmaceutical treatment of disease, not the performance of manufacturing of development stage compounds or clinical trials for others. Although Janssen is not a customer, as these services are not the output of XBiotech’s ordinary activities, the Company evaluated the terms of the agreements and has analogized to Accounting Standards Codification, Topic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for clinical manufacturing and clinical trial services revenue recognition.</w:t>
      </w:r>
    </w:p>
    <w:p>
      <w:pPr>
        <w:spacing w:after="0" w:line="16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ASC 606, an entity recognizes revenue when (or as)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(or for those analogized to it),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(including by analogy) when it is probable that we will collect the consideration we are entitled to in exchange for the goods or services we transfer to the counterparty. At contract inception, once the contract is determined to be within the scope of or analogized to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Revenue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 Clinical Manufacturing Agreement that we account for by analogy to ASC 606, under which we agreed to manufacture bermekimab for use by Janssen in clinical trials, in exchange for payments of $4.5 million per quarter, paid in advance, for up to two years, though Janssen may terminate the contract for any reason with 60-days’ notice. Quantities are estimated for the two-year period, but are only binding on the Company and Janssen for the next four months of each period, other than by the 60-day notice termination. If, during any calendar quarter, the Company fails to deliver all of the Clinical Products ordered by Janssen, subject to our agreed upon capacity, the next quarter’s fee is reduced proportionately for the shortfall volume. Negative adjustments may also occur for delivered Clinical Products that do not meet quality specifications, though we expect to meet these standards.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firstLine="648"/>
        <w:spacing w:after="0" w:line="271" w:lineRule="auto"/>
        <w:rPr>
          <w:sz w:val="20"/>
          <w:szCs w:val="20"/>
          <w:color w:val="auto"/>
        </w:rPr>
      </w:pPr>
      <w:r>
        <w:rPr>
          <w:rFonts w:ascii="Arial" w:cs="Arial" w:eastAsia="Arial" w:hAnsi="Arial"/>
          <w:sz w:val="17"/>
          <w:szCs w:val="17"/>
          <w:color w:val="auto"/>
        </w:rPr>
        <w:t>We received payment of $4.5 million from Janssen based on billing schedules established in the contract on December 30, 2019 for manufacturing in the first quarter of 2020. Due to the coronavirus pandemic, the Company failed to fully complete the manufacture of drugs specified for the March purchase order due to supply disruptions for the syringes used to hold the manufactured compound. In addition, due to the pandemic, Janssen requested that we delay shipment of volumes for which we had completed manufacturing. We recognized revenue for those volumes held at Janssen’s request, as they are segregated for future delivery. $1.5 million has been recorded as deferred revenue to a future period for the volumes that were not completed due to the syringe shortage until they are completed and delivered. We received the syringe shipment in April, and currently anticipate fulfilling all production volumes and returning to normal manufacturing capabilities by the third quarter of 2020; however, due to the uncertainty associated with the pandemic and related mitigation efforts, it is possible this assessment could change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Service Revenue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December 30, 2019, we entered into a Transition Services Agreement with Janssen. Pursuant to the Transition Services Agreement, the Company has agreed to continue operational management, on a fee-for-service basis, of two ongoing clinical trials related to bermekimab. The arrangement may continue as long as the clinical trials are ongoing; however, Janssen may terminate the contract at any time with thirty days’ notice.</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determined that XBiotech is a principal with regard to the single performance obligation for the series of clinical trial services. In consideration for all of the services to be provided, for each calendar quarter during the term of the Transition Services Agreement, Janssen pays the Company for all third party costs incurred (such as for third party clinical trial site costs) plus a markup of 30%, which we recognize on a gross basis as the principal in the arrangement with Janssen. Those amounts relate directly to the Company’s efforts to provide clinical trial services in the respective month, and are allocated to that month’s services. As at March 31, 2020, the Company has recorded $7.5 million Pass-Through Costs and $9.7 million gross Clinical Trial Service Revenue.</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clinical trial services were unaffected by the coronavirus pandemic during the first quarter of 2020. However, the timelines for future clinical trial services could be extended in the future as a result of the pandemic, which could delay or otherwise adversely affect our revenue. Because our fees are directly related to third party costs of our vendors, our clinical trial service revenues in future periods are likely to be affected by our vendors’ ability to operate and the activities of trial candidates due to the effects of the pandemic and mitigating activities. Our first quarter results may not be indicative of future revenues or costs associated with these clinical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180" w:firstLine="648"/>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2020 and 2019 was included in the following line items on the Consolidated Statements of Operations (in thousands).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9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320" w:type="dxa"/>
            <w:vAlign w:val="bottom"/>
          </w:tcPr>
          <w:p>
            <w:pPr>
              <w:spacing w:after="0"/>
              <w:rPr>
                <w:sz w:val="19"/>
                <w:szCs w:val="19"/>
                <w:color w:val="auto"/>
              </w:rPr>
            </w:pPr>
          </w:p>
        </w:tc>
        <w:tc>
          <w:tcPr>
            <w:tcW w:w="1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19"/>
                <w:szCs w:val="19"/>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195"/>
        </w:trPr>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533</w:t>
            </w:r>
          </w:p>
        </w:tc>
        <w:tc>
          <w:tcPr>
            <w:tcW w:w="5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295</w:t>
            </w:r>
          </w:p>
        </w:tc>
      </w:tr>
      <w:tr>
        <w:trPr>
          <w:trHeight w:val="229"/>
        </w:trPr>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2,144</w:t>
            </w:r>
          </w:p>
        </w:tc>
        <w:tc>
          <w:tcPr>
            <w:tcW w:w="5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3,456</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-608330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2020</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91%</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82%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2.46%</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6.25</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5.75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$3.92</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240" w:firstLine="551"/>
        <w:spacing w:after="0" w:line="311" w:lineRule="auto"/>
        <w:rPr>
          <w:sz w:val="20"/>
          <w:szCs w:val="20"/>
          <w:color w:val="auto"/>
        </w:rPr>
      </w:pPr>
      <w:r>
        <w:rPr>
          <w:rFonts w:ascii="Arial" w:cs="Arial" w:eastAsia="Arial" w:hAnsi="Arial"/>
          <w:sz w:val="16"/>
          <w:szCs w:val="16"/>
          <w:color w:val="auto"/>
        </w:rPr>
        <w:t>The consolidated financial statements include financial instruments for which the fair market value of such instruments may differ from amounts reflected on a historical cost basis. Financial instruments of the Company consist of cash deposits, accounts and other receivables, accounts payable, and certain accrued liabilities. These financial instruments are held at cost, which generally approximates fair value due to their short-term nature.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4" w:name="page15"/>
    <w:bookmarkEnd w:id="14"/>
    <w:p>
      <w:pPr>
        <w:ind w:right="260" w:firstLine="551"/>
        <w:spacing w:after="0" w:line="263"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4"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3" w:lineRule="exact"/>
        <w:rPr>
          <w:rFonts w:ascii="Arial" w:cs="Arial" w:eastAsia="Arial" w:hAnsi="Arial"/>
          <w:sz w:val="18"/>
          <w:szCs w:val="18"/>
          <w:color w:val="auto"/>
        </w:rPr>
      </w:pPr>
    </w:p>
    <w:p>
      <w:pPr>
        <w:ind w:left="880" w:right="420" w:hanging="332"/>
        <w:spacing w:after="0" w:line="25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ind w:left="880" w:right="60" w:hanging="332"/>
        <w:spacing w:after="0" w:line="26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85" w:lineRule="exact"/>
        <w:rPr>
          <w:sz w:val="20"/>
          <w:szCs w:val="20"/>
          <w:color w:val="auto"/>
        </w:rPr>
      </w:pPr>
    </w:p>
    <w:p>
      <w:pPr>
        <w:ind w:right="160" w:firstLine="551"/>
        <w:spacing w:after="0" w:line="286" w:lineRule="auto"/>
        <w:rPr>
          <w:sz w:val="20"/>
          <w:szCs w:val="20"/>
          <w:color w:val="auto"/>
        </w:rPr>
      </w:pPr>
      <w:r>
        <w:rPr>
          <w:rFonts w:ascii="Arial" w:cs="Arial" w:eastAsia="Arial" w:hAnsi="Arial"/>
          <w:sz w:val="17"/>
          <w:szCs w:val="17"/>
          <w:color w:val="auto"/>
        </w:rPr>
        <w:t>At March 31, 2020 and December 31, 2019,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March 31, 2020 and December 31, 2019, due to their short-term nature.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500" w:type="dxa"/>
            <w:vAlign w:val="bottom"/>
          </w:tcPr>
          <w:p>
            <w:pPr>
              <w:ind w:left="760"/>
              <w:spacing w:after="0"/>
              <w:rPr>
                <w:sz w:val="20"/>
                <w:szCs w:val="20"/>
                <w:color w:val="auto"/>
              </w:rPr>
            </w:pPr>
            <w:r>
              <w:rPr>
                <w:rFonts w:ascii="Arial" w:cs="Arial" w:eastAsia="Arial" w:hAnsi="Arial"/>
                <w:sz w:val="18"/>
                <w:szCs w:val="18"/>
                <w:color w:val="auto"/>
              </w:rPr>
              <w:t>7 years</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Office equipment</w:t>
            </w:r>
          </w:p>
        </w:tc>
        <w:tc>
          <w:tcPr>
            <w:tcW w:w="4500" w:type="dxa"/>
            <w:vAlign w:val="bottom"/>
          </w:tcPr>
          <w:p>
            <w:pPr>
              <w:ind w:left="760"/>
              <w:spacing w:after="0"/>
              <w:rPr>
                <w:sz w:val="20"/>
                <w:szCs w:val="20"/>
                <w:color w:val="auto"/>
              </w:rPr>
            </w:pPr>
            <w:r>
              <w:rPr>
                <w:rFonts w:ascii="Arial" w:cs="Arial" w:eastAsia="Arial" w:hAnsi="Arial"/>
                <w:sz w:val="18"/>
                <w:szCs w:val="18"/>
                <w:color w:val="auto"/>
              </w:rPr>
              <w:t>5 years</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500" w:type="dxa"/>
            <w:vAlign w:val="bottom"/>
          </w:tcPr>
          <w:p>
            <w:pPr>
              <w:ind w:left="760"/>
              <w:spacing w:after="0"/>
              <w:rPr>
                <w:sz w:val="20"/>
                <w:szCs w:val="20"/>
                <w:color w:val="auto"/>
              </w:rPr>
            </w:pPr>
            <w:r>
              <w:rPr>
                <w:rFonts w:ascii="Arial" w:cs="Arial" w:eastAsia="Arial" w:hAnsi="Arial"/>
                <w:sz w:val="18"/>
                <w:szCs w:val="18"/>
                <w:color w:val="auto"/>
                <w:w w:val="89"/>
              </w:rPr>
              <w:t>Shorter of asset’s useful life or remaining lease term</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Scientific equipment</w:t>
            </w:r>
          </w:p>
        </w:tc>
        <w:tc>
          <w:tcPr>
            <w:tcW w:w="4500" w:type="dxa"/>
            <w:vAlign w:val="bottom"/>
          </w:tcPr>
          <w:p>
            <w:pPr>
              <w:ind w:left="760"/>
              <w:spacing w:after="0"/>
              <w:rPr>
                <w:sz w:val="20"/>
                <w:szCs w:val="20"/>
                <w:color w:val="auto"/>
              </w:rPr>
            </w:pPr>
            <w:r>
              <w:rPr>
                <w:rFonts w:ascii="Arial" w:cs="Arial" w:eastAsia="Arial" w:hAnsi="Arial"/>
                <w:sz w:val="18"/>
                <w:szCs w:val="18"/>
                <w:color w:val="auto"/>
              </w:rPr>
              <w:t>5 years</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Vehicles</w:t>
            </w:r>
          </w:p>
        </w:tc>
        <w:tc>
          <w:tcPr>
            <w:tcW w:w="4500" w:type="dxa"/>
            <w:vAlign w:val="bottom"/>
          </w:tcPr>
          <w:p>
            <w:pPr>
              <w:ind w:left="760"/>
              <w:spacing w:after="0"/>
              <w:rPr>
                <w:sz w:val="20"/>
                <w:szCs w:val="20"/>
                <w:color w:val="auto"/>
              </w:rPr>
            </w:pPr>
            <w:r>
              <w:rPr>
                <w:rFonts w:ascii="Arial" w:cs="Arial" w:eastAsia="Arial" w:hAnsi="Arial"/>
                <w:sz w:val="18"/>
                <w:szCs w:val="18"/>
                <w:color w:val="auto"/>
              </w:rPr>
              <w:t>5 years</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Mobile facility</w:t>
            </w:r>
          </w:p>
        </w:tc>
        <w:tc>
          <w:tcPr>
            <w:tcW w:w="4500" w:type="dxa"/>
            <w:vAlign w:val="bottom"/>
          </w:tcPr>
          <w:p>
            <w:pPr>
              <w:ind w:left="760"/>
              <w:spacing w:after="0"/>
              <w:rPr>
                <w:sz w:val="20"/>
                <w:szCs w:val="20"/>
                <w:color w:val="auto"/>
              </w:rPr>
            </w:pPr>
            <w:r>
              <w:rPr>
                <w:rFonts w:ascii="Arial" w:cs="Arial" w:eastAsia="Arial" w:hAnsi="Arial"/>
                <w:sz w:val="18"/>
                <w:szCs w:val="18"/>
                <w:color w:val="auto"/>
              </w:rPr>
              <w:t>27.5 years</w:t>
            </w: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40"/>
              <w:spacing w:after="0"/>
              <w:rPr>
                <w:sz w:val="20"/>
                <w:szCs w:val="20"/>
                <w:color w:val="auto"/>
              </w:rPr>
            </w:pPr>
            <w:r>
              <w:rPr>
                <w:rFonts w:ascii="Arial" w:cs="Arial" w:eastAsia="Arial" w:hAnsi="Arial"/>
                <w:sz w:val="18"/>
                <w:szCs w:val="18"/>
                <w:color w:val="auto"/>
              </w:rPr>
              <w:t>Building</w:t>
            </w:r>
          </w:p>
        </w:tc>
        <w:tc>
          <w:tcPr>
            <w:tcW w:w="4500" w:type="dxa"/>
            <w:vAlign w:val="bottom"/>
          </w:tcPr>
          <w:p>
            <w:pPr>
              <w:ind w:left="760"/>
              <w:spacing w:after="0"/>
              <w:rPr>
                <w:sz w:val="20"/>
                <w:szCs w:val="20"/>
                <w:color w:val="auto"/>
              </w:rPr>
            </w:pPr>
            <w:r>
              <w:rPr>
                <w:rFonts w:ascii="Arial" w:cs="Arial" w:eastAsia="Arial" w:hAnsi="Arial"/>
                <w:sz w:val="18"/>
                <w:szCs w:val="18"/>
                <w:color w:val="auto"/>
              </w:rPr>
              <w:t>39 years</w:t>
            </w: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2020.</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makes estimates and judgments in determining the need for a valuation allowance, including the estimation of its taxable income or loss for the quarter ended March 31, 2020. Realization of deferred tax assets is dependent upon future earnings. The Company is uncertain about the timing and amount of any future earnings. Accordingly, the Company offsets certain deferred tax assets with a valuation allowance. The Company may in the future determine that certain deferred tax assets are more-likely-than-not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92"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ASC 740 clarifies the accounting for uncertainty in income taxes recognized in the financial statements and provides that a tax benefit from an uncertain tax position may be recognized when it is more likely than not that the position will be sustained upon examination, including resolutions of any related appeals or litigation processes, based on the technical merits. This interpretation also provides guidance on measurement, derecognition, classification, interest and penalties, accounting in interim periods and disclosure. The Company’s policy for recording interest and penalties associated with uncertain tax positions is to record such items as a component of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income/loss per share (“EPS”) is computed by dividing net loss by the weighted average number of common shares outstanding during each period. Diluted EPS is computed by dividing net income/loss by the weighted average number of common shares and common share equivalents outstanding (if dilutive) during each period. The number of common share equivalents, which include stock options, is computed using the treasury stock method.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did not have a cumulative adjustment impacting retained earnings. Adoption of the lease standard did not have a material impact on the Company’s consolidated financial statements.</w:t>
      </w:r>
    </w:p>
    <w:p>
      <w:pPr>
        <w:spacing w:after="0" w:line="16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instruments measured at amortized cost to be presented at the net amount expected to be collected. Entities are also required to record allowances for available-for-sale debt securities rather than reduce the carrying amount. On November 15, 2019, the FASB delayed the effective date of the standard for certain small public companies and other private companies. As amended, the effective date of ASC Topic 326 was delayed until fiscal years beginning after December 15, 2022 for SEC filers that are eligible to be smaller reporting companies under the SEC’s definition, as well as private companies and not-for-profit entities. The Company expects that the adoption will not have a material impact on its consolidated financial statements.</w:t>
      </w:r>
    </w:p>
    <w:p>
      <w:pPr>
        <w:spacing w:after="0" w:line="195"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simplifies the accounting for income taxes by removing certain exceptions to the general principles in Topic 740. The amendments also improve consistent application of and simplify GAAP for other areas of Topic 740 by clarifying and amending existing guidance. The standard will become effective for interim and annual periods beginning after December 15, 2020, with early adoption permitted. We early adopted ASU 2019-12 during the quarter ended March 31, 2020. The adoption of ASU 2019-12 resulted in no material impact to the Company's financial statements.</w:t>
      </w:r>
    </w:p>
    <w:p>
      <w:pPr>
        <w:spacing w:after="0" w:line="280"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3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received payment of $4.5 million from Janssen based on billing schedules established in the contract on December 30, 2019 for manufacturing in the first quarter of 2020. Due to the coronavirus pandemic, the Company failed to fully complete the manufacture of drugs specified for the March purchase order due to supply disruptions for the syringes used to hold the manufactured compound. In addition, due to the pandemic, Janssen requested that we delay shipment of volumes for which we had completed manufacturing. We recognized revenue for those volumes held at Janssen’s request, as they are segregated for future delivery. $1.5 million has been recorded as deferred revenue to a future period for the volumes that were not completed due to the syringe shortage until they are completed and delivered. We received the syringe shipment in April, and currently anticipate fulfilling all production volumes and returning to normal manufacturing capabilities by the third quarter of 2020; however, due to the uncertainty associated with the pandemic and related mitigation efforts, it is possible this assessment could change in future periods.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60" w:firstLine="648"/>
        <w:spacing w:after="0" w:line="296" w:lineRule="auto"/>
        <w:rPr>
          <w:sz w:val="20"/>
          <w:szCs w:val="20"/>
          <w:color w:val="auto"/>
        </w:rPr>
      </w:pPr>
      <w:r>
        <w:rPr>
          <w:rFonts w:ascii="Arial" w:cs="Arial" w:eastAsia="Arial" w:hAnsi="Arial"/>
          <w:sz w:val="16"/>
          <w:szCs w:val="16"/>
          <w:color w:val="auto"/>
        </w:rPr>
        <w:t>On December 30, 2019, the Company entered into a Transition Services Agreement with Janssen. Pursuant to the Transition Services Agreement, the company has agreed to continue operational management, on a fee-for-service basis, of two ongoing clinical trials related to bermekimab. In consideration for all of the services to be provided, for each calendar quarter during the term of such agreement, Janssen shall pay the Company a fee for such quarter equal to all pass-through costs incurred by the Company during such calendar quarter, plus a markup of 30%. At March 31, 2020, the Company has recorded $7 million of gross revenue under this arrangement with the corresponding expense to clinical services cost of goods sold.</w:t>
      </w:r>
    </w:p>
    <w:p>
      <w:pPr>
        <w:spacing w:after="0" w:line="157"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March 31, 2020 and December 31, 2019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March 31, 2020</w:t>
            </w: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Winnebago building</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19,275</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19,406</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25,034</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25,171</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5.</w:t>
            </w:r>
          </w:p>
        </w:tc>
        <w:tc>
          <w:tcPr>
            <w:tcW w:w="67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Common Stock</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0" w:type="dxa"/>
            <w:vAlign w:val="bottom"/>
            <w:vMerge w:val="continue"/>
          </w:tcPr>
          <w:p>
            <w:pPr>
              <w:spacing w:after="0"/>
              <w:rPr>
                <w:sz w:val="24"/>
                <w:szCs w:val="24"/>
                <w:color w:val="auto"/>
              </w:rPr>
            </w:pPr>
          </w:p>
        </w:tc>
        <w:tc>
          <w:tcPr>
            <w:tcW w:w="67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June 2019, under the Common Shares Purchase Agreement with Piper Jaffray &amp; Co., the Company sold 4.8 million shares of common stock at a price $8.25 per share for total net proceeds of $37.5 million, including the capitalized underwriter’s commission of $2.3 million and other related fees of $0.2 million.</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2019, 771 thousand shares of common stock were issued upon the exercise of stock options at a price of $2.50 to $15.00 per share for total proceeds of $3.8 million.</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On January 4, 2020, XBiotech announced that it had commenced a “modified Dutch auction” tender offer to purchase up to $420,000,000 of its common shares, or such lesser number of common shares as are properly tendered and not properly withdrawn, at a price not less than $30.00 nor greater than $33.00 per common share, to the seller in cash. The tender offer expired on February 12, 2020.</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February 19, 2020, the Company announced the final results of its “modified Dutch Auction” tender offer. The Company accepted for purchase 14,000,000 shares of its common stock, $0.01 par value per share, at a price of $30 per share, for an aggregate cost of approximately $420 million, excluding fees and expenses related to the tender offer. These shares represented approximately 32.67 percent of the shares outstanding. $6.66 per share or total of $93.24 million of these share repurchases have been classified to reduce common stock and $23.34 per share or total of $326.76 million of these share repurchases have been classified to reduce retained earnings in the accompanying consolidated balance sheet as of March 31, 2020.</w:t>
      </w:r>
    </w:p>
    <w:p>
      <w:pPr>
        <w:spacing w:after="0" w:line="16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From January through March 2020, 1.3 million shares of common stock were issued upon the exercise of stock options at a price of $2.94 to $19.09 per share for total proceeds of $7.9 million.</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33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options are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number of common shares reserved for issuance to any one person pursuant to the Plan adopted in 2005 may not, in aggregate, exceed 5% of the total number of outstanding common shares. The exercise price per common share under each option is the fair market value of such shares at the time of the grant. Upon stock option exercise, the Company issues new shares of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Weighted-Average</w:t>
            </w:r>
          </w:p>
        </w:tc>
      </w:tr>
      <w:tr>
        <w:trPr>
          <w:trHeight w:val="234"/>
        </w:trPr>
        <w:tc>
          <w:tcPr>
            <w:tcW w:w="63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Exercise Price</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6,965,730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$2.71</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$21.99</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50,500</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8.89</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21.8</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15.40</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(1,333,294)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2.94</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19.09</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30"/>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Forfeitures</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(12,167)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4.95</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10.36</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2020</w:t>
            </w:r>
          </w:p>
        </w:tc>
        <w:tc>
          <w:tcPr>
            <w:tcW w:w="1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5,670,769</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$2.71</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$21.99</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2020, there was approximately $13.6 million of unrecognized compensation cost, related to stock options granted under the Plans which will be amortized to stock compensation expense over the next 1.66 years.</w:t>
      </w:r>
    </w:p>
    <w:p>
      <w:pPr>
        <w:spacing w:after="0" w:line="166"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Income/Loss Per Share</w:t>
      </w:r>
    </w:p>
    <w:p>
      <w:pPr>
        <w:spacing w:after="0" w:line="3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summarizes the computation of basic and diluted net income/loss per share for the quarter ended March 31, 2020 and 2019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6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18"/>
                <w:szCs w:val="18"/>
                <w:color w:val="auto"/>
              </w:rPr>
            </w:pPr>
          </w:p>
        </w:tc>
      </w:tr>
      <w:tr>
        <w:trPr>
          <w:trHeight w:val="234"/>
        </w:trPr>
        <w:tc>
          <w:tcPr>
            <w:tcW w:w="660" w:type="dxa"/>
            <w:vAlign w:val="bottom"/>
            <w:tcBorders>
              <w:bottom w:val="single" w:sz="8" w:color="CCEEFF"/>
            </w:tcBorders>
          </w:tcPr>
          <w:p>
            <w:pPr>
              <w:spacing w:after="0"/>
              <w:rPr>
                <w:sz w:val="20"/>
                <w:szCs w:val="20"/>
                <w:color w:val="auto"/>
              </w:rPr>
            </w:pPr>
          </w:p>
        </w:tc>
        <w:tc>
          <w:tcPr>
            <w:tcW w:w="7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w:t>
            </w:r>
          </w:p>
        </w:tc>
        <w:tc>
          <w:tcPr>
            <w:tcW w:w="7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4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36,169,493</w:t>
            </w:r>
          </w:p>
        </w:tc>
        <w:tc>
          <w:tcPr>
            <w:tcW w:w="5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35,977,422</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540"/>
        </w:trPr>
        <w:tc>
          <w:tcPr>
            <w:tcW w:w="66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20" w:type="dxa"/>
            <w:vAlign w:val="bottom"/>
          </w:tcPr>
          <w:p>
            <w:pPr>
              <w:ind w:left="60"/>
              <w:spacing w:after="0"/>
              <w:rPr>
                <w:sz w:val="20"/>
                <w:szCs w:val="20"/>
                <w:color w:val="auto"/>
              </w:rPr>
            </w:pPr>
            <w:r>
              <w:rPr>
                <w:rFonts w:ascii="Arial" w:cs="Arial" w:eastAsia="Arial" w:hAnsi="Arial"/>
                <w:sz w:val="18"/>
                <w:szCs w:val="18"/>
                <w:b w:val="1"/>
                <w:bCs w:val="1"/>
                <w:color w:val="auto"/>
              </w:rPr>
              <w:t>Income Taxes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1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did not record a tax provision during the three months ended March 31, 2019 due to the Company having no revenues or income prior to December 2019. During the three months ended March 31, 2020, the Company recorded an income tax benefit of $352 thousand. The forecasted 2020 annual effective tax rate of 12.5% has been applied to net income before income taxes for the three months ended March 31, 2020. Further adjustments have been made for the tax effect of discrete tax benefits of stock compensation realized during the current period, resulting in a 96.4% effective tax rate for the three months ended March 31, 2020.</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difference in the 27% Canadian statutory tax rate and the annual forecasted effective tax rate is primarily a result of the jurisdictional mix of earnings and losses, valuation allowances, and permanently disallowed stock compensation expenses. The Company maintains a valuation allowance against all deferred tax assets in Switzerland, Germany and Japan and certain deferred tax assets in the US and Canada in the current and forecasted annual periods that we concluded are not more-likely-than-not to be realizable.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ongoing COVID-19 pandemic is disrupting our business operations, which we expect to continue throughout the remainder of 2020 and possibly beyond. We have experienced actual disruption to our supply chain regarding our ability to obtain syringes, and we have experienced or may experience difficulty obtaining masks, gloves and stoppers for vials, all of which are required in our manufacturing and/or clinical and drug discovery operations. Disruptions to clinical activities have already impacted our contractual arrangements with Janssen, causing Janssen to reduce its drug manufacturing orders under the clinical manufacturing agreement. Although we concluded that COVID-19 did not result in material adverse impacts on the Company’s results of operations and financial position at March 31, 2020, if supply disruptions and purchase reductions continue, our clinical manufacturing revenue will be, and our clinical trial service revenue could be, adversely impacted. In addition, stay-at-home orders and social distancing restrictions imposed by national, state and local governments have required adjustments to staffing levels and may impact the willingness of employees to work in laboratory, manufacturing and clinical settings, even after these orders and restrictions are relaxed or allowed to expire. Ongoing restrictions and other disruptions related to COVID-19 could delay our efforts to identify, manufacture, enter into clinical studies, seek regulatory approvals or otherwise commercialize any product candidates.</w:t>
      </w:r>
    </w:p>
    <w:p>
      <w:pPr>
        <w:spacing w:after="0" w:line="18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On April 3, 2020, the Company announced the collaboration with BioBridge Global to participate in a U.S. Food and Drug Administration (FDA) investigational program </w:t>
      </w:r>
      <w:r>
        <w:rPr>
          <w:rFonts w:ascii="Arial" w:cs="Arial" w:eastAsia="Arial" w:hAnsi="Arial"/>
          <w:sz w:val="17"/>
          <w:szCs w:val="17"/>
          <w:color w:val="212529"/>
        </w:rPr>
        <w:t>for U.S. blood centers to begin collecting and distributing convalescent plasma from individuals who have recovered from</w:t>
      </w:r>
      <w:r>
        <w:rPr>
          <w:rFonts w:ascii="Arial" w:cs="Arial" w:eastAsia="Arial" w:hAnsi="Arial"/>
          <w:sz w:val="17"/>
          <w:szCs w:val="17"/>
          <w:color w:val="auto"/>
        </w:rPr>
        <w:t xml:space="preserve"> </w:t>
      </w:r>
      <w:r>
        <w:rPr>
          <w:rFonts w:ascii="Arial" w:cs="Arial" w:eastAsia="Arial" w:hAnsi="Arial"/>
          <w:sz w:val="17"/>
          <w:szCs w:val="17"/>
          <w:color w:val="212529"/>
        </w:rPr>
        <w:t>COVID-19. The Company intends to use the blood samples to develop a candidate True Human™ antibody therapy for the disease.</w:t>
      </w:r>
    </w:p>
    <w:p>
      <w:pPr>
        <w:spacing w:after="0" w:line="133" w:lineRule="exact"/>
        <w:rPr>
          <w:sz w:val="20"/>
          <w:szCs w:val="20"/>
          <w:color w:val="auto"/>
        </w:rPr>
      </w:pPr>
    </w:p>
    <w:p>
      <w:pPr>
        <w:ind w:firstLine="648"/>
        <w:spacing w:after="0" w:line="238" w:lineRule="exact"/>
        <w:rPr>
          <w:sz w:val="20"/>
          <w:szCs w:val="20"/>
          <w:color w:val="auto"/>
        </w:rPr>
      </w:pPr>
      <w:r>
        <w:rPr>
          <w:rFonts w:ascii="Arial" w:cs="Arial" w:eastAsia="Arial" w:hAnsi="Arial"/>
          <w:sz w:val="18"/>
          <w:szCs w:val="18"/>
          <w:color w:val="auto"/>
        </w:rPr>
        <w:t>On April 14, 2020, the Company announced that a novel antibody it has discovered that neutralizes interleukin-1 alpha (IL-1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has now been advanced as a product candidate for clinical and commercial development. With the discovery, the Company is on schedule to reenter the clinic trials with a new anti-IL-1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therapy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60" w:lineRule="exact"/>
        <w:rPr>
          <w:sz w:val="20"/>
          <w:szCs w:val="20"/>
          <w:color w:val="auto"/>
        </w:rPr>
      </w:pPr>
    </w:p>
    <w:p>
      <w:pPr>
        <w:ind w:right="1920"/>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After the Janssen Transaction in December 2019, as of March 31, 2020, we had retained earnings of $243.6 million. We had net losses of $0.3 million and $5.9 million for the three months ended March 31, 2020 and 2019, respectively. During the next two years, we expect that the revenues from Janssen Transaction will generate enough cash for our research and development activities. However,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particularly following the end of the 2019 fiscal year when we lost our status as an emerging growth company and be required to comply with additional obligations from which we are currently exempt, including the auditor attestation requirement for internal controls. We will need to generate significant revenues to achieve or sustain profitability, and we may never do so. As of March 31, 2020, we had 63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During the first quarter of 2020, we were subject to challenging social and economic conditions created as a result of the novel strain of coronavirus, SARS-CoV-2 (“COVID-19”). The resulting impact of the COVID-19 outbreak has created various impacts to our operations as a result of taking necessary precautions for essential personnel to operate safely both in person as well as remotely, disruptions in our supply chain and delays requested by Janssen in shipping drug product under our clinical manufacturing agreement.</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currently operating our facilities at less than normal levels. Our office-based employees have been working from home since early March 2020, while ensuring essential staffing levels in our operations remain in place, including maintaining key personnel in our laboratories and manufacturing facilities. The Company considered the impact of COVID-19 on the assumptions and estimates used and determined that there were no material adverse impacts on the Company’s results of operations and financial position at March 31, 2020; however, this may not continue to be the case in future quarters . In addition to the delays we have already experienced in shipping drug product, it is possible that the COVID-19 pandemic and response efforts may adversely impact our future ability to manufacture clinical drugs for Janssen, which could have a material adverse impact on our results of operations or financial position during the remainder of 2020. In addition, having a significant number of employees working remotely could increase our cybersecurity risk, create data accessibility concerns, and make us more susceptible to communication disruptions.</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While we are currently continuing the clinical trials under the transition services agreement with Janssen, we expect that COVID-19 precautions may directly or indirectly impact the timeline for some of the clinical trials, which could delay or otherwise adversely affect our revenue and adversely impact our financial position. To help mitigate the impact to our clinical trials, we are pursuing innovative approaches such as remote monitoring, remote patient visits and supporting home infusions.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jc w:val="both"/>
        <w:ind w:right="420" w:firstLine="648"/>
        <w:spacing w:after="0" w:line="311" w:lineRule="auto"/>
        <w:rPr>
          <w:sz w:val="20"/>
          <w:szCs w:val="20"/>
          <w:color w:val="auto"/>
        </w:rPr>
      </w:pPr>
      <w:r>
        <w:rPr>
          <w:rFonts w:ascii="Arial" w:cs="Arial" w:eastAsia="Arial" w:hAnsi="Arial"/>
          <w:sz w:val="16"/>
          <w:szCs w:val="16"/>
          <w:color w:val="auto"/>
        </w:rPr>
        <w:t>We currently anticipate fulfilling all production volumes and returning to normal manufacturing capabilities under the clinical manufacturing agreement by the third quarter of 2020; however, due to the uncertainty associated with the pandemic and related mitigation efforts, it is possible this assessment could change in future periods as our manufacturing capabilities and Janssen’s purchase orders may continue to be negatively impacted.</w:t>
      </w:r>
    </w:p>
    <w:p>
      <w:pPr>
        <w:spacing w:after="0" w:line="14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On April 3, 2020, the Company announced the collaboration with BioBridge Global to participate in a U.S. Food and Drug Administration (FDA) investigational program </w:t>
      </w:r>
      <w:r>
        <w:rPr>
          <w:rFonts w:ascii="Arial" w:cs="Arial" w:eastAsia="Arial" w:hAnsi="Arial"/>
          <w:sz w:val="17"/>
          <w:szCs w:val="17"/>
          <w:color w:val="212529"/>
        </w:rPr>
        <w:t>for U.S. blood centers to begin collecting and distributing convalescent plasma from individuals who have recovered from</w:t>
      </w:r>
      <w:r>
        <w:rPr>
          <w:rFonts w:ascii="Arial" w:cs="Arial" w:eastAsia="Arial" w:hAnsi="Arial"/>
          <w:sz w:val="17"/>
          <w:szCs w:val="17"/>
          <w:color w:val="auto"/>
        </w:rPr>
        <w:t xml:space="preserve"> </w:t>
      </w:r>
      <w:r>
        <w:rPr>
          <w:rFonts w:ascii="Arial" w:cs="Arial" w:eastAsia="Arial" w:hAnsi="Arial"/>
          <w:sz w:val="17"/>
          <w:szCs w:val="17"/>
          <w:color w:val="212529"/>
        </w:rPr>
        <w:t>COVID-19. The Company intends to use the blood samples to develop a candidate True Human™ antibody therapy for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Prior to receiving payments under the clinical manufacturing agreement entered into in connection with the Janssen Transaction, we had not generated any revenue. Under this clinical manufacturing agreement, we manufacture bermekimab for use by Janssen in clinical trials, in exchange for fixed payments, paid in quarterly installments through 2021. As of March 31, 2020, we have recorded $3 million as manufacturing revenue.</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we entered into a transition services agreement under which we agreed to continue operational management, on a fee-for-service basis, of certain ongoing clinical trials related to bermekimab. In consideration for all of the services to be provided, for each calendar quarter during the term of the transition services agreement, Janssen shall pay the Company a fee for such quarter equal to all Pass-Through Costs incurred by the Company during such calendar quarter, plus a markup of 30%. As at March 31, 2020, the Company has recorded more than $7 million Pass-Through Costs and $9.7 million gross Clinical Trial Service Revenue.</w:t>
      </w:r>
    </w:p>
    <w:p>
      <w:pPr>
        <w:spacing w:after="0" w:line="18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Our ability to generate any additional revenue and/or to become profitable (or sustain any profitability) depends on our ability to successfully commercialize any product candidates we may advance in the future. On April 14, 2020, the Company announced that a novel antibody it has discovered that neutralizes interleukin-1 alpha (IL-1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has now been advanced as a product candidate for clinical and commercial development. With the discovery, the Company is on schedule to reenter the clinic with a new anti-IL-1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therapy in 2021. However, we are not able to estimate at this time the potential impact of the COVID-19 pandemic on our estimated timelines. It is possible that measures implemented to date or that may be implemented or re-implemented in the future by governmental authorities and/or our business partners in response to the pandemic may extend the timelines related to our development, clinical and commercial activities, which delays may be material and may adversely affect our revenues for future quarters , the current fiscal year or beyond.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2020, we have recorded total research and development expenses, including share-based compensation, of $211.0 million. Our total research and development expenses for the three months ended March 31, 2020 and 2019 were $1.2 million and $4.5 million, respectively. Share-based compensation accounted for $533 thousand and $295 thousand for the three months ended March 31, 2020 and 2019, respectively.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right="140" w:firstLine="648"/>
        <w:spacing w:after="0" w:line="263" w:lineRule="auto"/>
        <w:rPr>
          <w:sz w:val="20"/>
          <w:szCs w:val="20"/>
          <w:color w:val="auto"/>
        </w:rPr>
      </w:pPr>
      <w:r>
        <w:rPr>
          <w:rFonts w:ascii="Arial" w:cs="Arial" w:eastAsia="Arial" w:hAnsi="Arial"/>
          <w:sz w:val="18"/>
          <w:szCs w:val="18"/>
          <w:color w:val="auto"/>
        </w:rPr>
        <w:t>Research and development expenses, as a percentage of total operating expenses for the three months ended March 31, 2020 and 2019 were 22% and 78%, respectively. The percentages, excluding stock-based compensation, for the three months ended March 31, 2020 and 2019, were 25% and 81%, respectively.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clinical development costs may further increase going forward with potentially more advanced studies in the future as we evaluate our clinical data and pipeline.</w:t>
      </w:r>
    </w:p>
    <w:p>
      <w:pPr>
        <w:spacing w:after="0" w:line="17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 In addition, our ability to conduct research and other laboratory activities, to engage in clinical studies and to pursue regulatory approvals may be delayed or otherwise adversely impacted by measures implemented by governmental authorities and/or our business partners in response to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2020 and 2019 were $4.0 million and $1.3 million, respectively. Share-based compensation accounted for $2.1 million and $0.3 million for the three months ended March 31, 2020 and 2019, respectively.</w:t>
      </w:r>
    </w:p>
    <w:p>
      <w:pPr>
        <w:spacing w:after="0" w:line="188"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General and administrative expense, as a percentage of total operating expenses for the three months ended March 31, 2020 and 2019 were 78% and 22%, respectively. The percentages, excluding stock-based compensation, for the three months ended March 31, 2020 and 2019, were 75% and 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significant accounting policies are more fully described in the notes to our financial statements appearing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account for income taxes under the asset and liability method. We record deferred tax assets and liabilities for the future tax consequences attributable to differences between the financial statement carrying amounts of existing assets and liabilities and their respective tax bases, as well as for operating loss and tax credit carryforwards.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assess the likelihood that deferred tax assets will be realized, and we recognize a valuation allowance if it is more likely than not that some portion of the deferred tax assets will not be realized. This assessment requires judgment as to the likelihood and amounts of future taxable income by tax jurisdiction. To date, we have provided a valuation allowance against our deferred tax assets as we believe the objective and verifiable evidence of our historical pretax net losses outweighs any positive evidence of our forecasted future results. Although we believe that our tax estimates are reasonable, the ultimate tax determination involves significant judgment. We will continue to monitor the positive and negative evidence and will adjust the valuation allowance as sufficient objective positive evidence becomes available.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40" w:firstLine="648"/>
        <w:spacing w:after="0" w:line="263"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We recognize potential accrued interest and penalties associated with unrecognized tax positions within our global operations in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during the three months ended March 31, 2020 and 2019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0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revenue</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Clinical Trial revenue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9,681</w:t>
            </w: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12,681</w:t>
            </w: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had not generated any revenue before the year 2020. Under the clinical manufacturing agreement with Janssen, as of March 31, 2020, we have recorded $3 million as manufacturing revenue for January and February, 2020. Clinical trial revenue is based on the transition services agreement under which we agreed to continue operational management, on a fee-for-service basis, of certain ongoing clinical trials related to bermekimab, which includes $7.5 million pass-through expense for two ongoing trials and $2.2 million mark-up revenue. Our first quarter results may not be indicative of future revenues or costs associated with our clinical manufacturing or clinical trial management agreements due to the ongoing impact of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goods sold during the three months ended March 31, 2020 and 2019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0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cost</w:t>
            </w:r>
          </w:p>
        </w:tc>
        <w:tc>
          <w:tcPr>
            <w:tcW w:w="11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Clinical trial cost</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7,507</w:t>
            </w: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1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9,673</w:t>
            </w: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had not incurred any cost of goods sold before the year 2020. The manufacturing cost was period expense for manufacture, quality assurance and quality control department for January and February, 2020 . Clinical trial cost was the pass-through expense for two ongoing trials and other clinical trial department expense for the three months ended March 31, 2020. Our first quarter results may not be indicative of future revenues or costs associated with our clinical manufacturing or clinical trial management agreements due to the ongoing impact of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6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7"/>
              </w:rPr>
              <w:t>(Decrease)</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32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(1,118)</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238</w:t>
            </w:r>
          </w:p>
        </w:tc>
        <w:tc>
          <w:tcPr>
            <w:tcW w:w="15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(1,391)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(3,372)</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Research and development expenses decreased $3.4 million to $1.2 million for the three months ended March 31, 2020, compared to $4.5 million for the three months ended March 31, 2019. The decrease was mainly due to reclassification of expense. Manufacturing department expenses were reclassed to cost of goods sold as a result of the clinical manufacturing agreement we entered into as part of the Janssen Transaction. Also, we didn’t generate clinical trial expense for the three months ended March 31, 2020, because all such expenses incurred were pursuant to the transition services agreement entered into as part of the Janssen Transaction. As a result, clinical trial department expenses were reclassed to cost of goods sold. Our first quarter results may not be indicative of future revenues or costs associated with our clinical manufacturing or clinical trial management agreements due to the ongoing impact of the COVID-19 pandemic. The stock-based compensation increased due to the new grants to employees and Chief Executive Officer in the fourth quarter of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6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7"/>
              </w:rPr>
              <w:t>(Decrease)</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1,869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Professional fees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754</w:t>
            </w: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2,745</w:t>
            </w: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General and administrative expense increased $2.7 million to $4.0 million for the three months ended March 31, 2020, compared to $1.3 million for the three months ended March 31, 2019. The increase was primarily related to stock–based compensation expenses of $2.1 million, due to the new grants to employees and Chief Executive Officer in the fourth quarter of 2019. Also, professional fees increased $0.7 million mainly due to professional and legal fees related to the tender offer completed in February 2020.</w:t>
      </w:r>
    </w:p>
    <w:p>
      <w:pPr>
        <w:sectPr>
          <w:pgSz w:w="11900" w:h="16838" w:orient="portrait"/>
          <w:cols w:equalWidth="0" w:num="1">
            <w:col w:w="11240"/>
          </w:cols>
          <w:pgMar w:left="320" w:top="580"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exchange gain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0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1,898</w:t>
            </w:r>
          </w:p>
        </w:tc>
        <w:tc>
          <w:tcPr>
            <w:tcW w:w="4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78</w:t>
            </w:r>
          </w:p>
        </w:tc>
      </w:tr>
      <w:tr>
        <w:trPr>
          <w:trHeight w:val="230"/>
        </w:trPr>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0" w:right="339" w:bottom="1440" w:gutter="0" w:footer="0" w:header="0"/>
          <w:type w:val="continuous"/>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5" w:name="page26"/>
    <w:bookmarkEnd w:id="25"/>
    <w:p>
      <w:pPr>
        <w:jc w:val="both"/>
        <w:ind w:right="160" w:firstLine="648"/>
        <w:spacing w:after="0" w:line="263" w:lineRule="auto"/>
        <w:rPr>
          <w:sz w:val="20"/>
          <w:szCs w:val="20"/>
          <w:color w:val="auto"/>
        </w:rPr>
      </w:pPr>
      <w:r>
        <w:rPr>
          <w:rFonts w:ascii="Arial" w:cs="Arial" w:eastAsia="Arial" w:hAnsi="Arial"/>
          <w:sz w:val="18"/>
          <w:szCs w:val="18"/>
          <w:color w:val="auto"/>
        </w:rPr>
        <w:t>The interest income for the three months ended March 31, 2020 and 2019 was mainly from the interest generated from the Company’s Canadian bank account. Foreign exchange gain and loss was mainly due to the fluctuation between the US dollar and the Euro in the three months ended March 31, 2020 compared to the three months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 In addition, the duration and extent of measures that have been or may in the future be adopted by XBiotech or our business partners, or imposed by governmental authorities, in response to the COVID-19 pandemic may require the use of additional cash resources and adversely impact our liquidity. We are currently unable to estimate the severity or duration of these potential impacts to our liquidity and capital resources.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Since our inception on March 22, 2005 through March, 2020, we have funded our operations principally through private placements and public offerings of equity securities, which have provided aggregate cash proceeds of approximately $307.4 million. We received $675 million in cash proceeds from the Janssen Transaction in the year ended December 31, 2019. We will receive $75 million cash from the same transaction in 2021. The following table summarizes our sources and uses of cash (in thousands):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right="292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30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(60,673)</w:t>
            </w:r>
          </w:p>
        </w:tc>
        <w:tc>
          <w:tcPr>
            <w:tcW w:w="4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(4,677)</w:t>
            </w:r>
          </w:p>
        </w:tc>
      </w:tr>
      <w:tr>
        <w:trPr>
          <w:trHeight w:val="216"/>
        </w:trPr>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(412,082)</w:t>
            </w:r>
          </w:p>
        </w:tc>
        <w:tc>
          <w:tcPr>
            <w:tcW w:w="4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30"/>
        </w:trPr>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(473,054)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and 2019, our operating activities used net cash of $60.7 million and $4.7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use of net cash in each of these periods primarily resulted from our net losses. The increase in net loss from operations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as compared to the three months ended March 31, 2019 was mainly due to the $51.1 million income tax payment for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and 2019, our investing activities used net cash of $389 thousand and $6 thousand,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 of cash was for the purchase of new research and development equipment.</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three months ended March 31, 2020 and 2019, our financing activities used net cash of $412.1 million and provided net cash proceeds of $0.7 million, respectively. During the three months ended March 31, 2020, employees exercised stock options to purchase a total of 1.3 million shares of our common stock for approximately $7.9 million in net proceeds. On February 19, 2020, we used approximately $420 million to purchase 14,000,000 common shares at a price of $30.00 per share, relating to the tender offer completed in February 2020. During the three months ended March 31, 2019, employees exercised stock options to purchase a total of 190 thousand shares of our common stock for approximately $0.5 million in net proceeds. In this period, the Company also collected $0.2 million of its subscription receivable balance.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6" w:name="page27"/>
    <w:bookmarkEnd w:id="26"/>
    <w:p>
      <w:pPr>
        <w:ind w:right="20" w:firstLine="648"/>
        <w:spacing w:after="0" w:line="273" w:lineRule="auto"/>
        <w:rPr>
          <w:sz w:val="20"/>
          <w:szCs w:val="20"/>
          <w:color w:val="auto"/>
        </w:rPr>
      </w:pPr>
      <w:r>
        <w:rPr>
          <w:rFonts w:ascii="Arial" w:cs="Arial" w:eastAsia="Arial" w:hAnsi="Arial"/>
          <w:sz w:val="17"/>
          <w:szCs w:val="17"/>
          <w:color w:val="auto"/>
        </w:rPr>
        <w:t>We expect to continue to incur operating losses in the future. Although we are currently receiving clinical manufacturing revenue and clinical trial service revenue from Janssen, we will not receive any product revenue until a drug candidate has been approved by the FDA, EMA or similar regulatory agencies in other countries and successfully commercialized. As of March 31, 2020, our principal sources of liquidity were our cash and cash equivalents, which totaled approximately $241.5 million. The ongoing impact of COVID-19 may delay or reduce our expected revenues from the Janssen Transaction. If we determine in the future that we require additional capital, we may face difficulties in conducting common stock offerings, as a result of market volatility caused by continued effects of COVID-19 affecting the global economy.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3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3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7" w:name="page28"/>
    <w:bookmarkEnd w:id="27"/>
    <w:p>
      <w:pPr>
        <w:ind w:left="44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Risk Factors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2019, except for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the ongoing COVID-19 pandemic.</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Beginning in late 2019, the outbreak of COVID-19 has evolved into a global pandemic that is disrupting our business operations, which we expect to continue throughout the remainder of 2020 and possibly beyond. Depending upon the length and severity of the pandemic, which cannot be predicted, we may continue to experience disruptions that could materially and adversely impact our business including:</w:t>
      </w:r>
    </w:p>
    <w:p>
      <w:pPr>
        <w:spacing w:after="0" w:line="165" w:lineRule="exact"/>
        <w:rPr>
          <w:sz w:val="20"/>
          <w:szCs w:val="20"/>
          <w:color w:val="auto"/>
        </w:rPr>
      </w:pPr>
    </w:p>
    <w:p>
      <w:pPr>
        <w:ind w:left="980" w:right="20" w:hanging="324"/>
        <w:spacing w:after="0" w:line="27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March 2020 we were unable to fully complete the manufacture of drugs specified under our purchase order from Janssen due to an inability to obtain an adequate number of the syringes used to hold the manufactured compound. We also have experienced or may experience difficulty obtaining masks, gloves and stoppers for vials, all of which are required in our manufacturing and/or clinical and drug discovery operations. If these or any other third parties in our supply chain are or continue to be adversely impacted by restrictions resulting from the COVID-19 pandemic, including staffing shortages, production slowdowns, or disruptions in freight and other transportation services and delivery distribution systems, our supply chain may be disrupted, which would limit our ability to manufacture our product candidates for our clinical trials, to meet our obligations to manufacture drugs for Janssen under our clinical manufacturing agreement, or to conduct our research, development and clinical operations.</w:t>
      </w:r>
    </w:p>
    <w:p>
      <w:pPr>
        <w:spacing w:after="0" w:line="178" w:lineRule="exact"/>
        <w:rPr>
          <w:rFonts w:ascii="Arial" w:cs="Arial" w:eastAsia="Arial" w:hAnsi="Arial"/>
          <w:sz w:val="17"/>
          <w:szCs w:val="17"/>
          <w:color w:val="auto"/>
        </w:rPr>
      </w:pPr>
    </w:p>
    <w:p>
      <w:pPr>
        <w:ind w:left="980" w:right="32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pandemic has already affected and may continue to affect our obligations and performance under our agreements with Janssen. In addition to the production issues described above caused by the syringe shortage, in March 2020, Janssen reduced its drug manufacturing order and requested that we delay shipment of drugs that we had already completed manufacturing . We cannot predict the likely potential adverse impact of COVID-19 on Janssen’s future purchase orders or our ability to complete the manufacturing required by those purchase orders.</w:t>
      </w:r>
    </w:p>
    <w:p>
      <w:pPr>
        <w:spacing w:after="0" w:line="187" w:lineRule="exact"/>
        <w:rPr>
          <w:rFonts w:ascii="Arial" w:cs="Arial" w:eastAsia="Arial" w:hAnsi="Arial"/>
          <w:sz w:val="18"/>
          <w:szCs w:val="18"/>
          <w:color w:val="auto"/>
        </w:rPr>
      </w:pPr>
    </w:p>
    <w:p>
      <w:pPr>
        <w:ind w:left="980" w:right="40" w:hanging="324"/>
        <w:spacing w:after="0" w:line="25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Various aspects of our clinical trials could be limited or take longer than expected, including delays or difficulties in enrolling patients in our clinical trials, in clinical trial site initiation, and in recruiting clinical site investigators and clinical site staff; increased rates of patients withdrawing from clinical trials; diversion of healthcare resources away from the conduct of clinical trials; interruption of key clinical trial activities such as clinical trials site data monitoring due to limitations on travel imposed or recommended by governmental authorities; impact on employees and others or interruption of clinical trial visits or study procedures which may impact the integrity of subject data and clinical study endpoints; and interruption or delays in the operations of the FDA and comparable foreign regulatory agencies, which may impact regulatory review and approval timelines.</w:t>
      </w:r>
    </w:p>
    <w:p>
      <w:pPr>
        <w:spacing w:after="0" w:line="194"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office-based employees have been working from home since early March 2020, while we have attempted to maintain essential staffing levels in our operations, including requiring key personnel in our laboratories and manufacturing facilities to remain on-site. Our increased reliance on employees working from home may negatively impact productivity and disrupt, delay, or otherwise adversely impact our business. In addition, working remotely could increase our cybersecurity risk, create data accessibility concerns, and make us more susceptible to communication disruptions, any of which could adversely impact our operations. Stay-at-home orders and social distancing restrictions may impact the willingness of employees to work in laboratory, manufacturing and clinical settings, even after these orders and restrictions are relaxed or allowed to expire. These circumstances could delay our efforts to identify, manufacture, enter into clinical studies, seek regulatory approvals or otherwise commercialize any product candidates.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left="980" w:right="200" w:hanging="324"/>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and comparable foreign regulatory agencies may experience disruptions, have slower response times or be under-resourced to continue to monitor our clinical trials or to conduct required activities and review of our product candidates seeking regulatory review and such disruptions could materially affect the development, timing and approval of our product candidates.</w:t>
      </w:r>
    </w:p>
    <w:p>
      <w:pPr>
        <w:spacing w:after="0" w:line="165" w:lineRule="exact"/>
        <w:rPr>
          <w:rFonts w:ascii="Arial" w:cs="Arial" w:eastAsia="Arial" w:hAnsi="Arial"/>
          <w:sz w:val="17"/>
          <w:szCs w:val="17"/>
          <w:color w:val="auto"/>
        </w:rPr>
      </w:pPr>
    </w:p>
    <w:p>
      <w:pPr>
        <w:ind w:left="980" w:right="3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result of market volatility caused by continued effects of COVID-19 affecting the global economy, we may face difficulties raising capital through sales of our common stock or other securities at acceptable prices, on acceptable terms or at all.</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COVID-19 pandemic continues to rapidly evolve. The ultimate impact of the pandemic on us is highly uncertain and subject to change and will depend on future developments, which cannot be accurately predicted. We do not yet know the full extent of potential delays or impacts on our business, our clinical trials, our research programs, our clinical manufacturing or clinical trial management agreements, the healthcare system or the global economy. Given the uncertainties, we may be unable to maintain operations as planned prior to the COVID-19 pandemic.</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Please carefully consider the information set forth in this Quarterly Report on Form 10-Q and the risk factors discussed in Part I, “Item 1A. Risk Factors” in our Annual Report on Form 10-K for the year ended December 31, 2019, any of which risks and uncertainties may be further exacerbated by the COVID-19 pandemic and could materially affect our business, financial condition or future results. The risks described in this Quarterly Report on Form 10-Q and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3280" w:type="dxa"/>
            <w:vAlign w:val="bottom"/>
          </w:tcPr>
          <w:p>
            <w:pPr>
              <w:ind w:left="5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31.1</w:t>
              </w:r>
            </w:hyperlink>
          </w:p>
        </w:tc>
        <w:tc>
          <w:tcPr>
            <w:tcW w:w="480" w:type="dxa"/>
            <w:vAlign w:val="bottom"/>
          </w:tcPr>
          <w:p>
            <w:pPr>
              <w:spacing w:after="0"/>
              <w:rPr>
                <w:sz w:val="24"/>
                <w:szCs w:val="24"/>
                <w:color w:val="auto"/>
              </w:rPr>
            </w:pPr>
          </w:p>
        </w:tc>
        <w:tc>
          <w:tcPr>
            <w:tcW w:w="69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Principal Executive Officer Required Under Rule 13a-14(a) and 15d-14(a) of the</w:t>
              </w:r>
            </w:hyperlink>
          </w:p>
        </w:tc>
        <w:tc>
          <w:tcPr>
            <w:tcW w:w="360" w:type="dxa"/>
            <w:vAlign w:val="bottom"/>
          </w:tcPr>
          <w:p>
            <w:pPr>
              <w:spacing w:after="0"/>
              <w:rPr>
                <w:sz w:val="24"/>
                <w:szCs w:val="24"/>
                <w:color w:val="auto"/>
              </w:rPr>
            </w:pPr>
          </w:p>
        </w:tc>
      </w:tr>
      <w:tr>
        <w:trPr>
          <w:trHeight w:val="196"/>
        </w:trPr>
        <w:tc>
          <w:tcPr>
            <w:tcW w:w="3280" w:type="dxa"/>
            <w:vAlign w:val="bottom"/>
          </w:tcPr>
          <w:p>
            <w:pPr>
              <w:spacing w:after="0"/>
              <w:rPr>
                <w:sz w:val="17"/>
                <w:szCs w:val="17"/>
                <w:color w:val="auto"/>
              </w:rPr>
            </w:pPr>
          </w:p>
        </w:tc>
        <w:tc>
          <w:tcPr>
            <w:tcW w:w="7820" w:type="dxa"/>
            <w:vAlign w:val="bottom"/>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Securities Exchange Act of 1934, as amended.</w:t>
              </w:r>
            </w:hyperlink>
          </w:p>
        </w:tc>
      </w:tr>
      <w:tr>
        <w:trPr>
          <w:trHeight w:val="20"/>
        </w:trPr>
        <w:tc>
          <w:tcPr>
            <w:tcW w:w="3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3280" w:type="dxa"/>
            <w:vAlign w:val="bottom"/>
          </w:tcPr>
          <w:p>
            <w:pPr>
              <w:ind w:left="5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31.2</w:t>
              </w:r>
            </w:hyperlink>
          </w:p>
        </w:tc>
        <w:tc>
          <w:tcPr>
            <w:tcW w:w="480" w:type="dxa"/>
            <w:vAlign w:val="bottom"/>
          </w:tcPr>
          <w:p>
            <w:pPr>
              <w:spacing w:after="0"/>
              <w:rPr>
                <w:sz w:val="24"/>
                <w:szCs w:val="24"/>
                <w:color w:val="auto"/>
              </w:rPr>
            </w:pPr>
          </w:p>
        </w:tc>
        <w:tc>
          <w:tcPr>
            <w:tcW w:w="7340" w:type="dxa"/>
            <w:vAlign w:val="bottom"/>
            <w:gridSpan w:val="5"/>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Certification of Principal Financial Officer Required Under Rule 13a-14(a) and 15d-14(a) of the</w:t>
              </w:r>
            </w:hyperlink>
          </w:p>
        </w:tc>
      </w:tr>
      <w:tr>
        <w:trPr>
          <w:trHeight w:val="20"/>
        </w:trPr>
        <w:tc>
          <w:tcPr>
            <w:tcW w:w="3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782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Securities Exchange Act of 1934, as amended.</w:t>
              </w:r>
            </w:hyperlink>
          </w:p>
        </w:tc>
      </w:tr>
      <w:tr>
        <w:trPr>
          <w:trHeight w:val="20"/>
        </w:trPr>
        <w:tc>
          <w:tcPr>
            <w:tcW w:w="3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412"/>
        </w:trPr>
        <w:tc>
          <w:tcPr>
            <w:tcW w:w="3280" w:type="dxa"/>
            <w:vAlign w:val="bottom"/>
          </w:tcPr>
          <w:p>
            <w:pPr>
              <w:ind w:left="5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32.1</w:t>
              </w:r>
            </w:hyperlink>
          </w:p>
        </w:tc>
        <w:tc>
          <w:tcPr>
            <w:tcW w:w="480" w:type="dxa"/>
            <w:vAlign w:val="bottom"/>
          </w:tcPr>
          <w:p>
            <w:pPr>
              <w:spacing w:after="0"/>
              <w:rPr>
                <w:sz w:val="24"/>
                <w:szCs w:val="24"/>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Principal Executive Officer and Principal Financial Officer Required Under Rule 13a-</w:t>
              </w:r>
            </w:hyperlink>
          </w:p>
        </w:tc>
      </w:tr>
      <w:tr>
        <w:trPr>
          <w:trHeight w:val="196"/>
        </w:trPr>
        <w:tc>
          <w:tcPr>
            <w:tcW w:w="3280" w:type="dxa"/>
            <w:vAlign w:val="bottom"/>
          </w:tcPr>
          <w:p>
            <w:pPr>
              <w:spacing w:after="0"/>
              <w:rPr>
                <w:sz w:val="17"/>
                <w:szCs w:val="17"/>
                <w:color w:val="auto"/>
              </w:rPr>
            </w:pPr>
          </w:p>
        </w:tc>
        <w:tc>
          <w:tcPr>
            <w:tcW w:w="5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14(b) of the Securities Exchange Act of 1934, as amended, and 18 U.S.C. §1350.</w:t>
              </w:r>
            </w:hyperlink>
          </w:p>
        </w:tc>
        <w:tc>
          <w:tcPr>
            <w:tcW w:w="1980" w:type="dxa"/>
            <w:vAlign w:val="bottom"/>
            <w:gridSpan w:val="3"/>
          </w:tcPr>
          <w:p>
            <w:pPr>
              <w:spacing w:after="0"/>
              <w:rPr>
                <w:sz w:val="17"/>
                <w:szCs w:val="17"/>
                <w:color w:val="auto"/>
              </w:rPr>
            </w:pPr>
          </w:p>
        </w:tc>
      </w:tr>
      <w:tr>
        <w:trPr>
          <w:trHeight w:val="438"/>
        </w:trPr>
        <w:tc>
          <w:tcPr>
            <w:tcW w:w="3280" w:type="dxa"/>
            <w:vAlign w:val="bottom"/>
          </w:tcPr>
          <w:p>
            <w:pPr>
              <w:ind w:left="5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7340" w:type="dxa"/>
            <w:vAlign w:val="bottom"/>
            <w:gridSpan w:val="5"/>
          </w:tcPr>
          <w:p>
            <w:pPr>
              <w:spacing w:after="0"/>
              <w:rPr>
                <w:sz w:val="20"/>
                <w:szCs w:val="20"/>
                <w:color w:val="auto"/>
              </w:rPr>
            </w:pPr>
            <w:r>
              <w:rPr>
                <w:rFonts w:ascii="Arial" w:cs="Arial" w:eastAsia="Arial" w:hAnsi="Arial"/>
                <w:sz w:val="18"/>
                <w:szCs w:val="18"/>
                <w:color w:val="auto"/>
                <w:w w:val="95"/>
              </w:rPr>
              <w:t>The following financial statements from the XBiotech Inc. Quarterly Report on Form 10-Q for the</w:t>
            </w:r>
          </w:p>
        </w:tc>
      </w:tr>
      <w:tr>
        <w:trPr>
          <w:trHeight w:val="216"/>
        </w:trPr>
        <w:tc>
          <w:tcPr>
            <w:tcW w:w="3280" w:type="dxa"/>
            <w:vAlign w:val="bottom"/>
          </w:tcPr>
          <w:p>
            <w:pPr>
              <w:spacing w:after="0"/>
              <w:rPr>
                <w:sz w:val="18"/>
                <w:szCs w:val="18"/>
                <w:color w:val="auto"/>
              </w:rPr>
            </w:pPr>
          </w:p>
        </w:tc>
        <w:tc>
          <w:tcPr>
            <w:tcW w:w="7820" w:type="dxa"/>
            <w:vAlign w:val="bottom"/>
            <w:gridSpan w:val="6"/>
          </w:tcPr>
          <w:p>
            <w:pPr>
              <w:spacing w:after="0"/>
              <w:rPr>
                <w:sz w:val="20"/>
                <w:szCs w:val="20"/>
                <w:color w:val="auto"/>
              </w:rPr>
            </w:pPr>
            <w:r>
              <w:rPr>
                <w:rFonts w:ascii="Arial" w:cs="Arial" w:eastAsia="Arial" w:hAnsi="Arial"/>
                <w:sz w:val="18"/>
                <w:szCs w:val="18"/>
                <w:color w:val="auto"/>
                <w:w w:val="90"/>
              </w:rPr>
              <w:t>quarter ended March 31, 2020, formatted in Extensive Business Reporting Language (XBRL): (i) condensed</w:t>
            </w:r>
          </w:p>
        </w:tc>
      </w:tr>
      <w:tr>
        <w:trPr>
          <w:trHeight w:val="230"/>
        </w:trPr>
        <w:tc>
          <w:tcPr>
            <w:tcW w:w="3280" w:type="dxa"/>
            <w:vAlign w:val="bottom"/>
          </w:tcPr>
          <w:p>
            <w:pPr>
              <w:spacing w:after="0"/>
              <w:rPr>
                <w:sz w:val="20"/>
                <w:szCs w:val="20"/>
                <w:color w:val="auto"/>
              </w:rPr>
            </w:pPr>
          </w:p>
        </w:tc>
        <w:tc>
          <w:tcPr>
            <w:tcW w:w="7820" w:type="dxa"/>
            <w:vAlign w:val="bottom"/>
            <w:gridSpan w:val="6"/>
          </w:tcPr>
          <w:p>
            <w:pPr>
              <w:spacing w:after="0"/>
              <w:rPr>
                <w:sz w:val="20"/>
                <w:szCs w:val="20"/>
                <w:color w:val="auto"/>
              </w:rPr>
            </w:pPr>
            <w:r>
              <w:rPr>
                <w:rFonts w:ascii="Arial" w:cs="Arial" w:eastAsia="Arial" w:hAnsi="Arial"/>
                <w:sz w:val="18"/>
                <w:szCs w:val="18"/>
                <w:color w:val="auto"/>
                <w:w w:val="99"/>
              </w:rPr>
              <w:t>consolidated balance sheets, (ii) condensed consolidated statements of operations, (iii) condensed</w:t>
            </w:r>
          </w:p>
        </w:tc>
      </w:tr>
    </w:tbl>
    <w:p>
      <w:pPr>
        <w:ind w:left="3280" w:right="220"/>
        <w:spacing w:after="0" w:line="255" w:lineRule="auto"/>
        <w:rPr>
          <w:sz w:val="20"/>
          <w:szCs w:val="20"/>
          <w:color w:val="auto"/>
        </w:rPr>
      </w:pPr>
      <w:r>
        <w:rPr>
          <w:rFonts w:ascii="Arial" w:cs="Arial" w:eastAsia="Arial" w:hAnsi="Arial"/>
          <w:sz w:val="18"/>
          <w:szCs w:val="18"/>
          <w:color w:val="auto"/>
        </w:rPr>
        <w:t>consolidated statements of comprehensive loss, (iv) ) condensed consolidated statements of shareholders’ equity; (v) condensed consolidated statements of cash flows and (vi)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color w:val="auto"/>
              </w:rPr>
              <w:t>Date: May 11, 2020</w:t>
            </w:r>
          </w:p>
        </w:tc>
        <w:tc>
          <w:tcPr>
            <w:tcW w:w="2680" w:type="dxa"/>
            <w:vAlign w:val="bottom"/>
          </w:tcPr>
          <w:p>
            <w:pPr>
              <w:ind w:left="1240"/>
              <w:spacing w:after="0"/>
              <w:rPr>
                <w:sz w:val="20"/>
                <w:szCs w:val="20"/>
                <w:color w:val="auto"/>
              </w:rPr>
            </w:pPr>
            <w:r>
              <w:rPr>
                <w:rFonts w:ascii="Arial" w:cs="Arial" w:eastAsia="Arial" w:hAnsi="Arial"/>
                <w:sz w:val="18"/>
                <w:szCs w:val="18"/>
                <w:b w:val="1"/>
                <w:bCs w:val="1"/>
                <w:color w:val="auto"/>
              </w:rPr>
              <w:t>XBIOTECH INC.</w:t>
            </w:r>
          </w:p>
        </w:tc>
        <w:tc>
          <w:tcPr>
            <w:tcW w:w="5360" w:type="dxa"/>
            <w:vAlign w:val="bottom"/>
          </w:tcPr>
          <w:p>
            <w:pPr>
              <w:spacing w:after="0"/>
              <w:rPr>
                <w:sz w:val="20"/>
                <w:szCs w:val="20"/>
                <w:color w:val="auto"/>
              </w:rPr>
            </w:pPr>
          </w:p>
        </w:tc>
      </w:tr>
      <w:tr>
        <w:trPr>
          <w:trHeight w:val="864"/>
        </w:trPr>
        <w:tc>
          <w:tcPr>
            <w:tcW w:w="2700" w:type="dxa"/>
            <w:vAlign w:val="bottom"/>
          </w:tcPr>
          <w:p>
            <w:pPr>
              <w:spacing w:after="0"/>
              <w:rPr>
                <w:sz w:val="24"/>
                <w:szCs w:val="24"/>
                <w:color w:val="auto"/>
              </w:rPr>
            </w:pPr>
          </w:p>
        </w:tc>
        <w:tc>
          <w:tcPr>
            <w:tcW w:w="2680" w:type="dxa"/>
            <w:vAlign w:val="bottom"/>
          </w:tcPr>
          <w:p>
            <w:pPr>
              <w:ind w:left="12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2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2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9"/>
              </w:rPr>
              <w:t>President, Chief Executive Officer and Director (</w:t>
            </w:r>
            <w:r>
              <w:rPr>
                <w:rFonts w:ascii="Arial" w:cs="Arial" w:eastAsia="Arial" w:hAnsi="Arial"/>
                <w:sz w:val="18"/>
                <w:szCs w:val="18"/>
                <w:i w:val="1"/>
                <w:iCs w:val="1"/>
                <w:color w:val="auto"/>
                <w:w w:val="99"/>
              </w:rPr>
              <w:t>Principal Executive</w:t>
            </w:r>
          </w:p>
        </w:tc>
      </w:tr>
      <w:tr>
        <w:trPr>
          <w:trHeight w:val="230"/>
        </w:trPr>
        <w:tc>
          <w:tcPr>
            <w:tcW w:w="2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864"/>
        </w:trPr>
        <w:tc>
          <w:tcPr>
            <w:tcW w:w="2700" w:type="dxa"/>
            <w:vAlign w:val="bottom"/>
          </w:tcPr>
          <w:p>
            <w:pPr>
              <w:spacing w:after="0"/>
              <w:rPr>
                <w:sz w:val="20"/>
                <w:szCs w:val="20"/>
                <w:color w:val="auto"/>
              </w:rPr>
            </w:pPr>
            <w:r>
              <w:rPr>
                <w:rFonts w:ascii="Arial" w:cs="Arial" w:eastAsia="Arial" w:hAnsi="Arial"/>
                <w:sz w:val="18"/>
                <w:szCs w:val="18"/>
                <w:color w:val="auto"/>
              </w:rPr>
              <w:t>Date: May 11, 2020</w:t>
            </w:r>
          </w:p>
        </w:tc>
        <w:tc>
          <w:tcPr>
            <w:tcW w:w="2680" w:type="dxa"/>
            <w:vAlign w:val="bottom"/>
          </w:tcPr>
          <w:p>
            <w:pPr>
              <w:ind w:left="12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2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2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Vice President, Finance and Human Resources, and Secretary (</w:t>
            </w:r>
            <w:r>
              <w:rPr>
                <w:rFonts w:ascii="Arial" w:cs="Arial" w:eastAsia="Arial" w:hAnsi="Arial"/>
                <w:sz w:val="18"/>
                <w:szCs w:val="18"/>
                <w:i w:val="1"/>
                <w:iCs w:val="1"/>
                <w:color w:val="auto"/>
                <w:w w:val="91"/>
              </w:rPr>
              <w:t>Principal</w:t>
            </w:r>
          </w:p>
        </w:tc>
      </w:tr>
      <w:tr>
        <w:trPr>
          <w:trHeight w:val="230"/>
        </w:trPr>
        <w:tc>
          <w:tcPr>
            <w:tcW w:w="2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20" w:hanging="291"/>
        <w:spacing w:after="0" w:line="263"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1" w:lineRule="exact"/>
        <w:rPr>
          <w:rFonts w:ascii="Arial" w:cs="Arial" w:eastAsia="Arial" w:hAnsi="Arial"/>
          <w:sz w:val="18"/>
          <w:szCs w:val="18"/>
          <w:color w:val="auto"/>
        </w:rPr>
      </w:pPr>
    </w:p>
    <w:p>
      <w:pPr>
        <w:jc w:val="both"/>
        <w:ind w:left="720" w:hanging="301"/>
        <w:spacing w:after="0" w:line="263"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1" w:lineRule="exact"/>
        <w:rPr>
          <w:rFonts w:ascii="Arial" w:cs="Arial" w:eastAsia="Arial" w:hAnsi="Arial"/>
          <w:sz w:val="18"/>
          <w:szCs w:val="18"/>
          <w:color w:val="auto"/>
        </w:rPr>
      </w:pPr>
    </w:p>
    <w:p>
      <w:pPr>
        <w:ind w:left="720" w:right="20" w:hanging="291"/>
        <w:spacing w:after="0" w:line="308" w:lineRule="auto"/>
        <w:tabs>
          <w:tab w:leader="none" w:pos="7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301"/>
        <w:spacing w:after="0" w:line="263"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right="50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John Simard</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Simard</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8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1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20" w:hanging="291"/>
        <w:spacing w:after="0" w:line="263"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1" w:lineRule="exact"/>
        <w:rPr>
          <w:rFonts w:ascii="Arial" w:cs="Arial" w:eastAsia="Arial" w:hAnsi="Arial"/>
          <w:sz w:val="18"/>
          <w:szCs w:val="18"/>
          <w:color w:val="auto"/>
        </w:rPr>
      </w:pPr>
    </w:p>
    <w:p>
      <w:pPr>
        <w:jc w:val="both"/>
        <w:ind w:left="720" w:hanging="301"/>
        <w:spacing w:after="0" w:line="263"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1" w:lineRule="exact"/>
        <w:rPr>
          <w:rFonts w:ascii="Arial" w:cs="Arial" w:eastAsia="Arial" w:hAnsi="Arial"/>
          <w:sz w:val="18"/>
          <w:szCs w:val="18"/>
          <w:color w:val="auto"/>
        </w:rPr>
      </w:pPr>
    </w:p>
    <w:p>
      <w:pPr>
        <w:ind w:left="720" w:right="20" w:hanging="291"/>
        <w:spacing w:after="0" w:line="308"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301"/>
        <w:spacing w:after="0" w:line="263"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right="50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1"/>
        <w:spacing w:after="0" w:line="277"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1"/>
        <w:spacing w:after="0" w:line="277"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Queena Han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84"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2020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5" w:lineRule="exact"/>
        <w:rPr>
          <w:sz w:val="20"/>
          <w:szCs w:val="20"/>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/S/JOHN SIMARD</w:t>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Simard</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In connection with the Quarterly Report of XBiotech Inc. on Form 10-Q for the period ended March 31, 2020,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49"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Queena Han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11,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2020-05-11T16:26:18Z</dcterms:created>
  <dcterms:modified xsi:type="dcterms:W3CDTF">2020-05-11T16:26:18Z</dcterms:modified>
</cp:coreProperties>
</file>