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001-37437</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XBIOTECH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206"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86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8" w:lineRule="exact"/>
        <w:rPr>
          <w:sz w:val="24"/>
          <w:szCs w:val="24"/>
          <w:color w:val="auto"/>
        </w:rPr>
      </w:pPr>
    </w:p>
    <w:p>
      <w:pPr>
        <w:sectPr>
          <w:pgSz w:w="11900" w:h="16838" w:orient="portrait"/>
          <w:cols w:equalWidth="0" w:num="2">
            <w:col w:w="7760" w:space="720"/>
            <w:col w:w="2940"/>
          </w:cols>
          <w:pgMar w:left="240" w:top="206" w:right="239" w:bottom="1440" w:gutter="0" w:footer="0" w:header="0"/>
          <w:type w:val="continuous"/>
        </w:sectPr>
      </w:pPr>
    </w:p>
    <w:p>
      <w:pPr>
        <w:spacing w:after="0" w:line="19" w:lineRule="exact"/>
        <w:rPr>
          <w:sz w:val="24"/>
          <w:szCs w:val="24"/>
          <w:color w:val="auto"/>
        </w:rPr>
      </w:pPr>
    </w:p>
    <w:p>
      <w:pPr>
        <w:ind w:left="2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Arial" w:cs="Arial" w:eastAsia="Arial" w:hAnsi="Arial"/>
          <w:sz w:val="14"/>
          <w:szCs w:val="14"/>
          <w:b w:val="1"/>
          <w:bCs w:val="1"/>
          <w:color w:val="auto"/>
        </w:rPr>
        <w:t>(IRS Employer</w:t>
      </w:r>
    </w:p>
    <w:p>
      <w:pPr>
        <w:jc w:val="center"/>
        <w:ind w:right="228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420"/>
          </w:cols>
          <w:pgMar w:left="240" w:top="206" w:right="239" w:bottom="1440" w:gutter="0" w:footer="0" w:header="0"/>
          <w:type w:val="continuous"/>
        </w:sectPr>
      </w:pP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8201 E. Riverside Drive, Bldg. 4, Suite 100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Austin, TX 78744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(512) 386-2900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420"/>
          </w:cols>
          <w:pgMar w:left="240" w:top="206" w:right="239" w:bottom="1440" w:gutter="0" w:footer="0" w:header="0"/>
          <w:type w:val="continuous"/>
        </w:sectPr>
      </w:pPr>
    </w:p>
    <w:p>
      <w:pPr>
        <w:spacing w:after="0" w:line="21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type w:val="continuous"/>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240" w:top="557" w:right="419" w:bottom="1440" w:gutter="0" w:footer="0" w:header="0"/>
        </w:sectPr>
      </w:pP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5"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0"/>
          <w:szCs w:val="20"/>
          <w:color w:val="auto"/>
        </w:rPr>
      </w:pPr>
    </w:p>
    <w:p>
      <w:pPr>
        <w:sectPr>
          <w:pgSz w:w="11900" w:h="16838" w:orient="portrait"/>
          <w:cols w:equalWidth="0" w:num="4">
            <w:col w:w="1620" w:space="680"/>
            <w:col w:w="4760" w:space="720"/>
            <w:col w:w="2360" w:space="720"/>
            <w:col w:w="380"/>
          </w:cols>
          <w:pgMar w:left="240" w:top="557" w:right="419" w:bottom="1440" w:gutter="0" w:footer="0" w:header="0"/>
          <w:type w:val="continuous"/>
        </w:sect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May 13, 2016, there were 32,350,565 shares of the Registrant's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40"/>
          </w:cols>
          <w:pgMar w:left="240" w:top="557" w:right="41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XBIOTECH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THREE MONTHS ENDED MARCH 31, 2016</w:t>
      </w:r>
    </w:p>
    <w:p>
      <w:pPr>
        <w:jc w:val="center"/>
        <w:ind w:right="-39"/>
        <w:spacing w:after="0"/>
        <w:rPr>
          <w:sz w:val="20"/>
          <w:szCs w:val="20"/>
          <w:color w:val="auto"/>
        </w:rPr>
      </w:pPr>
      <w:r>
        <w:rPr>
          <w:rFonts w:ascii="Arial" w:cs="Arial" w:eastAsia="Arial" w:hAnsi="Arial"/>
          <w:sz w:val="22"/>
          <w:szCs w:val="22"/>
          <w:b w:val="1"/>
          <w:bCs w:val="1"/>
          <w:color w:val="auto"/>
        </w:rPr>
        <w:t>INDEX</w:t>
      </w: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60" w:type="dxa"/>
            <w:vAlign w:val="bottom"/>
            <w:gridSpan w:val="12"/>
          </w:tcPr>
          <w:p>
            <w:pPr>
              <w:jc w:val="center"/>
              <w:ind w:right="2740"/>
              <w:spacing w:after="0"/>
              <w:rPr>
                <w:sz w:val="20"/>
                <w:szCs w:val="20"/>
                <w:color w:val="auto"/>
              </w:rPr>
            </w:pPr>
            <w:r>
              <w:rPr>
                <w:rFonts w:ascii="Arial" w:cs="Arial" w:eastAsia="Arial" w:hAnsi="Arial"/>
                <w:sz w:val="18"/>
                <w:szCs w:val="18"/>
                <w:b w:val="1"/>
                <w:bCs w:val="1"/>
                <w:color w:val="auto"/>
              </w:rPr>
              <w:t>PART I—FINANCIAL INFORMATION</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31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p>
        </w:tc>
        <w:tc>
          <w:tcPr>
            <w:tcW w:w="3160" w:type="dxa"/>
            <w:vAlign w:val="bottom"/>
            <w:tcBorders>
              <w:top w:val="single" w:sz="8" w:color="auto"/>
            </w:tcBorders>
            <w:gridSpan w:val="6"/>
          </w:tcPr>
          <w:p>
            <w:pPr>
              <w:spacing w:after="0"/>
              <w:rPr>
                <w:sz w:val="24"/>
                <w:szCs w:val="24"/>
                <w:color w:val="auto"/>
              </w:rPr>
            </w:pPr>
          </w:p>
        </w:tc>
        <w:tc>
          <w:tcPr>
            <w:tcW w:w="342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Balance Sheets as of March 31, 2016 (unaudited) and December 31, 2015</w:t>
              </w:r>
            </w:hyperlink>
          </w:p>
        </w:tc>
        <w:tc>
          <w:tcPr>
            <w:tcW w:w="3440" w:type="dxa"/>
            <w:vAlign w:val="bottom"/>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Operations for the Three Months Ended March 31, 2016 (unaudited) and 2015 (unaudited)</w:t>
              </w:r>
            </w:hyperlink>
          </w:p>
        </w:tc>
        <w:tc>
          <w:tcPr>
            <w:tcW w:w="1200" w:type="dxa"/>
            <w:vAlign w:val="bottom"/>
            <w:gridSpan w:val="3"/>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Comprehensive Loss for the Three Months Ended March 31, 2016 (unaudited) and 2015 (unaudited)</w:t>
              </w:r>
            </w:hyperlink>
          </w:p>
        </w:tc>
        <w:tc>
          <w:tcPr>
            <w:tcW w:w="4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Cash Flows for the Three Months Ended March 31, 2016 (unaudited) and 2015 (unaudited)</w:t>
              </w:r>
            </w:hyperlink>
          </w:p>
        </w:tc>
        <w:tc>
          <w:tcPr>
            <w:tcW w:w="114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77"/>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40" w:type="dxa"/>
            <w:vAlign w:val="bottom"/>
            <w:gridSpan w:val="9"/>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Consolidated Financial Statements (unaudited)</w:t>
              </w:r>
            </w:hyperlink>
          </w:p>
        </w:tc>
        <w:tc>
          <w:tcPr>
            <w:tcW w:w="5720" w:type="dxa"/>
            <w:vAlign w:val="bottom"/>
            <w:gridSpan w:val="9"/>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400" w:type="dxa"/>
            <w:vAlign w:val="bottom"/>
            <w:gridSpan w:val="2"/>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40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Quantitative and Qualitative Disclosures About Market Risk</w:t>
              </w:r>
            </w:hyperlink>
          </w:p>
        </w:tc>
        <w:tc>
          <w:tcPr>
            <w:tcW w:w="2100" w:type="dxa"/>
            <w:vAlign w:val="bottom"/>
            <w:gridSpan w:val="4"/>
          </w:tcPr>
          <w:p>
            <w:pPr>
              <w:spacing w:after="0"/>
              <w:rPr>
                <w:sz w:val="24"/>
                <w:szCs w:val="24"/>
                <w:color w:val="auto"/>
              </w:rPr>
            </w:pPr>
          </w:p>
        </w:tc>
        <w:tc>
          <w:tcPr>
            <w:tcW w:w="3300" w:type="dxa"/>
            <w:vAlign w:val="bottom"/>
            <w:gridSpan w:val="4"/>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20" w:type="dxa"/>
            <w:vAlign w:val="bottom"/>
            <w:tcBorders>
              <w:left w:val="single" w:sz="8" w:color="0000EE"/>
            </w:tcBorders>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4.</w:t>
              </w:r>
            </w:hyperlink>
          </w:p>
        </w:tc>
        <w:tc>
          <w:tcPr>
            <w:tcW w:w="400" w:type="dxa"/>
            <w:vAlign w:val="bottom"/>
            <w:gridSpan w:val="2"/>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400" w:type="dxa"/>
            <w:vAlign w:val="bottom"/>
            <w:gridSpan w:val="8"/>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77"/>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4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400" w:type="dxa"/>
            <w:vAlign w:val="bottom"/>
            <w:gridSpan w:val="2"/>
          </w:tcPr>
          <w:p>
            <w:pPr>
              <w:spacing w:after="0"/>
              <w:rPr>
                <w:sz w:val="24"/>
                <w:szCs w:val="24"/>
                <w:color w:val="auto"/>
              </w:rPr>
            </w:pPr>
          </w:p>
        </w:tc>
        <w:tc>
          <w:tcPr>
            <w:tcW w:w="3320" w:type="dxa"/>
            <w:vAlign w:val="bottom"/>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860" w:type="dxa"/>
            <w:vAlign w:val="bottom"/>
            <w:tcBorders>
              <w:top w:val="single" w:sz="8" w:color="auto"/>
            </w:tcBorders>
            <w:gridSpan w:val="3"/>
          </w:tcPr>
          <w:p>
            <w:pPr>
              <w:spacing w:after="0"/>
              <w:rPr>
                <w:sz w:val="24"/>
                <w:szCs w:val="24"/>
                <w:color w:val="auto"/>
              </w:rPr>
            </w:pPr>
          </w:p>
        </w:tc>
        <w:tc>
          <w:tcPr>
            <w:tcW w:w="3580" w:type="dxa"/>
            <w:vAlign w:val="bottom"/>
            <w:gridSpan w:val="7"/>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9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976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6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0"/>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Unregistered Sales of Equity Securities and Use of Proceeds</w:t>
              </w:r>
            </w:hyperlink>
          </w:p>
        </w:tc>
        <w:tc>
          <w:tcPr>
            <w:tcW w:w="5400" w:type="dxa"/>
            <w:vAlign w:val="bottom"/>
            <w:gridSpan w:val="8"/>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400" w:type="dxa"/>
            <w:vAlign w:val="bottom"/>
            <w:gridSpan w:val="2"/>
          </w:tcPr>
          <w:p>
            <w:pPr>
              <w:spacing w:after="0"/>
              <w:rPr>
                <w:sz w:val="24"/>
                <w:szCs w:val="24"/>
                <w:color w:val="auto"/>
              </w:rPr>
            </w:pPr>
          </w:p>
        </w:tc>
        <w:tc>
          <w:tcPr>
            <w:tcW w:w="2340" w:type="dxa"/>
            <w:vAlign w:val="bottom"/>
            <w:gridSpan w:val="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020" w:type="dxa"/>
            <w:vAlign w:val="bottom"/>
            <w:gridSpan w:val="5"/>
          </w:tcPr>
          <w:p>
            <w:pPr>
              <w:spacing w:after="0"/>
              <w:rPr>
                <w:sz w:val="24"/>
                <w:szCs w:val="24"/>
                <w:color w:val="auto"/>
              </w:rPr>
            </w:pPr>
          </w:p>
        </w:tc>
        <w:tc>
          <w:tcPr>
            <w:tcW w:w="5400" w:type="dxa"/>
            <w:vAlign w:val="bottom"/>
            <w:gridSpan w:val="8"/>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400" w:type="dxa"/>
            <w:vAlign w:val="bottom"/>
            <w:gridSpan w:val="2"/>
          </w:tcPr>
          <w:p>
            <w:pPr>
              <w:spacing w:after="0"/>
              <w:rPr>
                <w:sz w:val="24"/>
                <w:szCs w:val="24"/>
                <w:color w:val="auto"/>
              </w:rPr>
            </w:pPr>
          </w:p>
        </w:tc>
        <w:tc>
          <w:tcPr>
            <w:tcW w:w="1780" w:type="dxa"/>
            <w:vAlign w:val="bottom"/>
            <w:gridSpan w:val="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Disclosures</w:t>
              </w:r>
            </w:hyperlink>
          </w:p>
        </w:tc>
        <w:tc>
          <w:tcPr>
            <w:tcW w:w="560" w:type="dxa"/>
            <w:vAlign w:val="bottom"/>
          </w:tcPr>
          <w:p>
            <w:pPr>
              <w:spacing w:after="0"/>
              <w:rPr>
                <w:sz w:val="24"/>
                <w:szCs w:val="24"/>
                <w:color w:val="auto"/>
              </w:rPr>
            </w:pPr>
          </w:p>
        </w:tc>
        <w:tc>
          <w:tcPr>
            <w:tcW w:w="7420" w:type="dxa"/>
            <w:vAlign w:val="bottom"/>
            <w:gridSpan w:val="13"/>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400" w:type="dxa"/>
            <w:vAlign w:val="bottom"/>
            <w:gridSpan w:val="2"/>
          </w:tcPr>
          <w:p>
            <w:pPr>
              <w:spacing w:after="0"/>
              <w:rPr>
                <w:sz w:val="24"/>
                <w:szCs w:val="24"/>
                <w:color w:val="auto"/>
              </w:rPr>
            </w:pPr>
          </w:p>
        </w:tc>
        <w:tc>
          <w:tcPr>
            <w:tcW w:w="17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7980" w:type="dxa"/>
            <w:vAlign w:val="bottom"/>
            <w:gridSpan w:val="14"/>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44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400" w:type="dxa"/>
            <w:vAlign w:val="bottom"/>
            <w:gridSpan w:val="2"/>
          </w:tcPr>
          <w:p>
            <w:pPr>
              <w:spacing w:after="0"/>
              <w:rPr>
                <w:sz w:val="24"/>
                <w:szCs w:val="24"/>
                <w:color w:val="auto"/>
              </w:rPr>
            </w:pPr>
          </w:p>
        </w:tc>
        <w:tc>
          <w:tcPr>
            <w:tcW w:w="132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440" w:type="dxa"/>
            <w:vAlign w:val="bottom"/>
            <w:gridSpan w:val="15"/>
          </w:tcPr>
          <w:p>
            <w:pPr>
              <w:spacing w:after="0"/>
              <w:rPr>
                <w:sz w:val="24"/>
                <w:szCs w:val="24"/>
                <w:color w:val="auto"/>
              </w:rPr>
            </w:pPr>
          </w:p>
        </w:tc>
        <w:tc>
          <w:tcPr>
            <w:tcW w:w="66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6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are forward-looking statements.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These forward-looking statements include, but are not limited to statements about:</w:t>
      </w:r>
    </w:p>
    <w:p>
      <w:pPr>
        <w:spacing w:after="0" w:line="178" w:lineRule="exact"/>
        <w:rPr>
          <w:sz w:val="20"/>
          <w:szCs w:val="20"/>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 to market and sell Xilonix™ in the United States, Europe and elsewhere;</w:t>
      </w:r>
    </w:p>
    <w:p>
      <w:pPr>
        <w:spacing w:after="0" w:line="252" w:lineRule="exact"/>
        <w:rPr>
          <w:rFonts w:ascii="Arial" w:cs="Arial" w:eastAsia="Arial" w:hAnsi="Arial"/>
          <w:sz w:val="18"/>
          <w:szCs w:val="18"/>
          <w:color w:val="auto"/>
        </w:rPr>
      </w:pPr>
    </w:p>
    <w:p>
      <w:pPr>
        <w:ind w:left="880" w:right="240" w:hanging="332"/>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 for Xilonix™ and other product candidates;</w:t>
      </w:r>
    </w:p>
    <w:p>
      <w:pPr>
        <w:spacing w:after="0" w:line="197"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the sale of Xilonix™ in the United States, Europe and elsewhere;</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future clinical trials for our pharmaceutical products;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new products using our True Human™ antibody discovery platform;</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of the size and characteristics of the markets that may be addressed by our products and product candidates;</w:t>
      </w:r>
    </w:p>
    <w:p>
      <w:pPr>
        <w:spacing w:after="0" w:line="263" w:lineRule="exact"/>
        <w:rPr>
          <w:rFonts w:ascii="Arial" w:cs="Arial" w:eastAsia="Arial" w:hAnsi="Arial"/>
          <w:sz w:val="17"/>
          <w:szCs w:val="17"/>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Xilonix™ and future products, if any;</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collaborators’ ability to obtain and maintain regulatory approvals for our product candidates;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52" w:lineRule="exact"/>
        <w:rPr>
          <w:rFonts w:ascii="Arial" w:cs="Arial" w:eastAsia="Arial" w:hAnsi="Arial"/>
          <w:sz w:val="18"/>
          <w:szCs w:val="18"/>
          <w:color w:val="auto"/>
        </w:rPr>
      </w:pPr>
    </w:p>
    <w:p>
      <w:pPr>
        <w:ind w:left="880" w:hanging="33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timing during which we will be an emerging growth company under the JOBS Act;</w:t>
      </w:r>
    </w:p>
    <w:p>
      <w:pPr>
        <w:spacing w:after="0" w:line="252" w:lineRule="exact"/>
        <w:rPr>
          <w:rFonts w:ascii="Arial" w:cs="Arial" w:eastAsia="Arial" w:hAnsi="Arial"/>
          <w:sz w:val="18"/>
          <w:szCs w:val="18"/>
          <w:color w:val="auto"/>
        </w:rPr>
      </w:pPr>
    </w:p>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252" w:lineRule="exact"/>
        <w:rPr>
          <w:rFonts w:ascii="Arial" w:cs="Arial" w:eastAsia="Arial" w:hAnsi="Arial"/>
          <w:sz w:val="18"/>
          <w:szCs w:val="18"/>
          <w:color w:val="auto"/>
        </w:rPr>
      </w:pPr>
    </w:p>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252" w:lineRule="exact"/>
        <w:rPr>
          <w:rFonts w:ascii="Arial" w:cs="Arial" w:eastAsia="Arial" w:hAnsi="Arial"/>
          <w:sz w:val="18"/>
          <w:szCs w:val="18"/>
          <w:color w:val="auto"/>
        </w:rPr>
      </w:pPr>
    </w:p>
    <w:p>
      <w:pPr>
        <w:ind w:left="400" w:hanging="332"/>
        <w:spacing w:after="0"/>
        <w:tabs>
          <w:tab w:leader="none" w:pos="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 including the success of competing therapies that are or become available; and</w:t>
      </w:r>
    </w:p>
    <w:p>
      <w:pPr>
        <w:spacing w:after="0" w:line="263" w:lineRule="exact"/>
        <w:rPr>
          <w:rFonts w:ascii="Arial" w:cs="Arial" w:eastAsia="Arial" w:hAnsi="Arial"/>
          <w:sz w:val="17"/>
          <w:szCs w:val="17"/>
          <w:color w:val="auto"/>
        </w:rPr>
      </w:pPr>
    </w:p>
    <w:p>
      <w:pPr>
        <w:ind w:left="400" w:hanging="33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left="20" w:right="40"/>
        <w:spacing w:after="0" w:line="271" w:lineRule="auto"/>
        <w:rPr>
          <w:sz w:val="20"/>
          <w:szCs w:val="20"/>
          <w:color w:val="auto"/>
        </w:rPr>
      </w:pPr>
      <w:r>
        <w:rPr>
          <w:rFonts w:ascii="Arial" w:cs="Arial" w:eastAsia="Arial" w:hAnsi="Arial"/>
          <w:sz w:val="17"/>
          <w:szCs w:val="17"/>
          <w:color w:val="auto"/>
        </w:rPr>
        <w:t>All forward looking statements in this Quarterly Report on Form 10-Q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under the heading “Risk Factors” included in our annual report for the year ended December 31, 2015 filed with the SEC on March 30, 2016, and elsewhere in this Quarterly Report on Form 10-Q. These factors should not be construed as exhaustive and should be read in conjunction with the other cautionary statements that are included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79" w:lineRule="exact"/>
        <w:rPr>
          <w:sz w:val="20"/>
          <w:szCs w:val="20"/>
          <w:color w:val="auto"/>
        </w:rPr>
      </w:pPr>
    </w:p>
    <w:p>
      <w:pPr>
        <w:ind w:left="20" w:hanging="5"/>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medical conditions,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40"/>
          </w:cols>
          <w:pgMar w:left="720" w:top="125"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right="460" w:firstLine="360"/>
        <w:spacing w:after="0" w:line="266" w:lineRule="auto"/>
        <w:rPr>
          <w:sz w:val="20"/>
          <w:szCs w:val="20"/>
          <w:color w:val="auto"/>
        </w:rPr>
      </w:pPr>
      <w:r>
        <w:rPr>
          <w:rFonts w:ascii="Arial" w:cs="Arial" w:eastAsia="Arial" w:hAnsi="Arial"/>
          <w:sz w:val="18"/>
          <w:szCs w:val="18"/>
          <w:color w:val="auto"/>
        </w:rPr>
        <w:t>Prepaid expenses and other current assets Total current assets</w:t>
      </w: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construction in progress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4520"/>
        <w:spacing w:after="0"/>
        <w:rPr>
          <w:sz w:val="20"/>
          <w:szCs w:val="20"/>
          <w:color w:val="auto"/>
        </w:rPr>
      </w:pPr>
      <w:r>
        <w:rPr>
          <w:rFonts w:ascii="Arial" w:cs="Arial" w:eastAsia="Arial" w:hAnsi="Arial"/>
          <w:sz w:val="17"/>
          <w:szCs w:val="17"/>
          <w:color w:val="auto"/>
        </w:rPr>
        <w:t>Consolidated Balance Sheets</w:t>
      </w:r>
    </w:p>
    <w:p>
      <w:pPr>
        <w:spacing w:after="0" w:line="21" w:lineRule="exact"/>
        <w:rPr>
          <w:sz w:val="20"/>
          <w:szCs w:val="20"/>
          <w:color w:val="auto"/>
        </w:rPr>
      </w:pPr>
    </w:p>
    <w:p>
      <w:pPr>
        <w:jc w:val="center"/>
        <w:ind w:right="4520"/>
        <w:spacing w:after="0"/>
        <w:rPr>
          <w:sz w:val="20"/>
          <w:szCs w:val="20"/>
          <w:color w:val="auto"/>
        </w:rPr>
      </w:pPr>
      <w:r>
        <w:rPr>
          <w:rFonts w:ascii="Arial" w:cs="Arial" w:eastAsia="Arial" w:hAnsi="Arial"/>
          <w:sz w:val="15"/>
          <w:szCs w:val="15"/>
          <w:color w:val="auto"/>
        </w:rPr>
        <w:t>(in thousands, except share data)</w:t>
      </w:r>
    </w:p>
    <w:p>
      <w:pPr>
        <w:spacing w:after="0" w:line="241"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March 31, 2016</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2015</w:t>
            </w:r>
          </w:p>
        </w:tc>
      </w:tr>
      <w:tr>
        <w:trPr>
          <w:trHeight w:val="234"/>
        </w:trPr>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(unaudited)</w:t>
            </w: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64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78,225</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91,051</w:t>
            </w:r>
          </w:p>
        </w:tc>
      </w:tr>
      <w:tr>
        <w:trPr>
          <w:trHeight w:val="230"/>
        </w:trPr>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1,614</w:t>
            </w: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1,990</w:t>
            </w:r>
          </w:p>
        </w:tc>
      </w:tr>
      <w:tr>
        <w:trPr>
          <w:trHeight w:val="195"/>
        </w:trPr>
        <w:tc>
          <w:tcPr>
            <w:tcW w:w="160" w:type="dxa"/>
            <w:vAlign w:val="bottom"/>
          </w:tcPr>
          <w:p>
            <w:pPr>
              <w:spacing w:after="0"/>
              <w:rPr>
                <w:sz w:val="16"/>
                <w:szCs w:val="16"/>
                <w:color w:val="auto"/>
              </w:rPr>
            </w:pPr>
          </w:p>
        </w:tc>
        <w:tc>
          <w:tcPr>
            <w:tcW w:w="15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79,839</w:t>
            </w:r>
          </w:p>
        </w:tc>
        <w:tc>
          <w:tcPr>
            <w:tcW w:w="640" w:type="dxa"/>
            <w:vAlign w:val="bottom"/>
          </w:tcPr>
          <w:p>
            <w:pPr>
              <w:spacing w:after="0"/>
              <w:rPr>
                <w:sz w:val="16"/>
                <w:szCs w:val="16"/>
                <w:color w:val="auto"/>
              </w:rPr>
            </w:pPr>
          </w:p>
        </w:tc>
        <w:tc>
          <w:tcPr>
            <w:tcW w:w="11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93,041</w:t>
            </w:r>
          </w:p>
        </w:tc>
      </w:tr>
      <w:tr>
        <w:trPr>
          <w:trHeight w:val="230"/>
        </w:trPr>
        <w:tc>
          <w:tcPr>
            <w:tcW w:w="16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7,715</w:t>
            </w:r>
          </w:p>
        </w:tc>
        <w:tc>
          <w:tcPr>
            <w:tcW w:w="6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5,946</w:t>
            </w:r>
          </w:p>
        </w:tc>
      </w:tr>
      <w:tr>
        <w:trPr>
          <w:trHeight w:val="230"/>
        </w:trPr>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13,708</w:t>
            </w: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10,371</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101,262</w:t>
            </w:r>
          </w:p>
        </w:tc>
        <w:tc>
          <w:tcPr>
            <w:tcW w:w="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-1174115</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-891540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-608330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-325120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20" w:space="720"/>
            <w:col w:w="688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4,846</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7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1,717</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6,563</w:t>
            </w:r>
          </w:p>
        </w:tc>
        <w:tc>
          <w:tcPr>
            <w:tcW w:w="6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w:t>
            </w:r>
          </w:p>
        </w:tc>
        <w:tc>
          <w:tcPr>
            <w:tcW w:w="17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7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6,583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5"/>
              </w:rPr>
              <w:t>Preferred Stock, no par value, unlimited shares authorized, no shares outstanding</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unlimited shares authorized, 32,292,106 and 32,279,106</w:t>
            </w:r>
          </w:p>
        </w:tc>
        <w:tc>
          <w:tcPr>
            <w:tcW w:w="2220" w:type="dxa"/>
            <w:vAlign w:val="bottom"/>
            <w:gridSpan w:val="2"/>
          </w:tcPr>
          <w:p>
            <w:pPr>
              <w:jc w:val="right"/>
              <w:ind w:right="750"/>
              <w:spacing w:after="0" w:line="201" w:lineRule="exact"/>
              <w:rPr>
                <w:sz w:val="20"/>
                <w:szCs w:val="20"/>
                <w:color w:val="auto"/>
              </w:rPr>
            </w:pPr>
            <w:r>
              <w:rPr>
                <w:rFonts w:ascii="Arial" w:cs="Arial" w:eastAsia="Arial" w:hAnsi="Arial"/>
                <w:sz w:val="18"/>
                <w:szCs w:val="18"/>
                <w:color w:val="auto"/>
                <w:w w:val="89"/>
              </w:rPr>
              <w:t>shares outstanding</w:t>
            </w: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at March 31, 2016 and December 31, 2015, respectively</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235,751</w:t>
            </w:r>
          </w:p>
        </w:tc>
        <w:tc>
          <w:tcPr>
            <w:tcW w:w="6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deficit</w:t>
            </w:r>
          </w:p>
        </w:tc>
        <w:tc>
          <w:tcPr>
            <w:tcW w:w="17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(140,908)</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7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94,679</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7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101,262</w:t>
            </w:r>
          </w:p>
        </w:tc>
        <w:tc>
          <w:tcPr>
            <w:tcW w:w="6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7,812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2,436</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10,248</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(10,248)</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 (loss) Gain</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(loss) Gain</w:t>
            </w: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(10,257)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(0.32)</w:t>
            </w:r>
          </w:p>
        </w:tc>
        <w:tc>
          <w:tcPr>
            <w:tcW w:w="3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32,292,106</w:t>
            </w:r>
          </w:p>
        </w:tc>
        <w:tc>
          <w:tcPr>
            <w:tcW w:w="3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27,641,565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(10,257)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(10,219)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18"/>
                <w:szCs w:val="18"/>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(unaudited)</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(10,257)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1,817</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408</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(2,348)</w:t>
            </w:r>
          </w:p>
        </w:tc>
        <w:tc>
          <w:tcPr>
            <w:tcW w:w="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(9,947)</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(1,543)</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Expenditure on building construction</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(1,374)</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(2,917)</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Issuance of common stock under stock option plan</w:t>
            </w:r>
          </w:p>
        </w:tc>
        <w:tc>
          <w:tcPr>
            <w:tcW w:w="22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subscription receivable</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foreign exchange rate on cash and cash equivalents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(12,826)</w:t>
            </w: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91,051</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78,225</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Supplemental Information:</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purchases of property and equipment</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405,283</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Accrued expenditure on building construction</w:t>
            </w:r>
          </w:p>
        </w:tc>
        <w:tc>
          <w:tcPr>
            <w:tcW w:w="22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1,962,917</w:t>
            </w:r>
          </w:p>
        </w:tc>
        <w:tc>
          <w:tcPr>
            <w:tcW w:w="36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XBiotech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w:t>
      </w:r>
    </w:p>
    <w:p>
      <w:pPr>
        <w:spacing w:after="0" w:line="207"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XBiotech, Inc. (“XBiotech” or “the Company”) was incorporated in Canada on March 22, 2005. XBiotech USA Inc., a wholly-owned subsidiary of the Company, was incorporated in Delaware, United States (“U.S.”) in November 2007. XBiotech Schweiz AG, a wholly-owned subsidiary of the Company, was incorporated in Zug, Switzerland in August 2010. XBiotech Japan KK, a wholly-owned subsidiary of the Company, was incorporated in Tokyo, Japan in March 2013. XBiotech GmbH, a wholly-owned subsidiary of the Company, was incorporated in Germany in January 2014.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the heart of the Company is a proprietary technical knowhow to translate natural human immunity into therapeutic product candidates.</w:t>
      </w:r>
    </w:p>
    <w:p>
      <w:pPr>
        <w:spacing w:after="0" w:line="21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2005, the Company began to develop a new framework for commercial manufacturing, using technology that required less capital, fewer operators and provided greater flexibility than standard industry practices.</w:t>
      </w:r>
    </w:p>
    <w:p>
      <w:pPr>
        <w:spacing w:after="0" w:line="17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With the manufacturing capability to produce its True Human</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U.S. and abroad to investigate the antibody effect in patients that had vascular disease, leukemia, type 2 diabetes, psoriasis or acne.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headquarters are located in Austin, Texas.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w:t>
      </w:r>
    </w:p>
    <w:p>
      <w:pPr>
        <w:spacing w:after="0" w:line="150" w:lineRule="exact"/>
        <w:rPr>
          <w:sz w:val="20"/>
          <w:szCs w:val="20"/>
          <w:color w:val="auto"/>
        </w:rPr>
      </w:pPr>
    </w:p>
    <w:p>
      <w:pPr>
        <w:ind w:right="8600" w:firstLine="8"/>
        <w:spacing w:after="0" w:line="503" w:lineRule="auto"/>
        <w:tabs>
          <w:tab w:leader="none" w:pos="4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consolidated financial statements have been prepared in conformity with accounting principles generally accepted in the United States, or US GAAP.</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These interim unaudited consolidated financial statements have been prepared in accordance with accounting principles generally accepted in the United States, or GAAP, and Securities and Exchange Commission, or SEC, requirements for interim financial statements. In the Company’s opinion, the accompanying unaudited consolidated financial statements have been prepared on the same basis as the audited consolidated financial statements and include all adjustments, consisting of normal, recurring adjustments, necessary for a fair presentation. Certain information and disclosures normally included in the notes to the annual consolidated financial statements prepared in accordance with GAAP have been omitted from these interim unaudited consolidated financial statements pursuant to the rules and regulations of the SEC. Accordingly, these interim unaudited consolidated financial statements should be read in conjunction with the consolidated financial statements and the accompanying notes for the fiscal year ended December 31, 2015, which are included in the Company’s Annual Report on Form 10-K, filed with the SEC on March 30, 2016. The results of operations for the three month period ended March 31, 2016 are not necessarily indicative of the results to be expected for the year ending December 31, 2016 or for any other period.</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significant intercompany transactions have been eliminated upon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make estimates and assumptions that affect the reported values of amounts in the financial statements and accompanying notes.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completion of it initial public offering in April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research and development costs are charged to expense as incurred. Research and development costs include salaries and personnel-related costs, consulting fees, fees paid for contract research services, the costs of laboratory equipment and facilities, license fees and other external costs. Costs incurred to acquire licenses for intellectual property to be used in research and development activities with no alternative future use are expensed as incurred as research and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deferred and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amounts are expensed as the related goods are delivered or the services are performed.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each full fiscal year. The Company has accumulated significant deferred tax assets that reflect the tax effects of net operating loss and tax credit carryovers and temporary difference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 The Company classifies interest recognized pursuant to its deferred tax assets as interest expense, when appropriate.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accounts for its share-based compensation awards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640"/>
        <w:spacing w:after="0" w:line="277" w:lineRule="auto"/>
        <w:rPr>
          <w:sz w:val="20"/>
          <w:szCs w:val="20"/>
          <w:color w:val="auto"/>
        </w:rPr>
      </w:pPr>
      <w:r>
        <w:rPr>
          <w:rFonts w:ascii="Arial" w:cs="Arial" w:eastAsia="Arial" w:hAnsi="Arial"/>
          <w:sz w:val="18"/>
          <w:szCs w:val="18"/>
          <w:color w:val="auto"/>
        </w:rPr>
        <w:t>Share-based compensation expense recognized for the three months ended March 31, 2016 and 2015 was included in the following line items on the Consolidated Statement of Operations (in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4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March 31,</w:t>
            </w:r>
          </w:p>
        </w:tc>
        <w:tc>
          <w:tcPr>
            <w:tcW w:w="520" w:type="dxa"/>
            <w:vAlign w:val="bottom"/>
          </w:tcPr>
          <w:p>
            <w:pPr>
              <w:spacing w:after="0"/>
              <w:rPr>
                <w:sz w:val="18"/>
                <w:szCs w:val="18"/>
                <w:color w:val="auto"/>
              </w:rPr>
            </w:pPr>
          </w:p>
        </w:tc>
      </w:tr>
      <w:tr>
        <w:trPr>
          <w:trHeight w:val="234"/>
        </w:trPr>
        <w:tc>
          <w:tcPr>
            <w:tcW w:w="5060" w:type="dxa"/>
            <w:vAlign w:val="bottom"/>
          </w:tcPr>
          <w:p>
            <w:pPr>
              <w:spacing w:after="0"/>
              <w:rPr>
                <w:sz w:val="20"/>
                <w:szCs w:val="20"/>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598</w:t>
            </w:r>
          </w:p>
        </w:tc>
        <w:tc>
          <w:tcPr>
            <w:tcW w:w="106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r>
      <w:tr>
        <w:trPr>
          <w:trHeight w:val="230"/>
        </w:trPr>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1,219</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w:t>
            </w:r>
          </w:p>
        </w:tc>
      </w:tr>
      <w:tr>
        <w:trPr>
          <w:trHeight w:val="223"/>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1,817</w:t>
            </w:r>
          </w:p>
        </w:tc>
        <w:tc>
          <w:tcPr>
            <w:tcW w:w="106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1,222</w:t>
            </w:r>
          </w:p>
        </w:tc>
      </w:tr>
      <w:tr>
        <w:trPr>
          <w:trHeight w:val="20"/>
        </w:trPr>
        <w:tc>
          <w:tcPr>
            <w:tcW w:w="5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on the date of grant using the Black-Scholes method with the following assumptions: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68%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$9.56</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related tax benefits were recognized for the three months ended March 31,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considers highly liquid investments with a maturity of three months or less when purchased to be cash equivalents. Cash and cash equivalents consisted primarily of cash on deposit in U.S., German, Swiss and Canadian banks. Cash and cash equivalents are stated at cost which approximates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follows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1" w:lineRule="exact"/>
        <w:rPr>
          <w:sz w:val="20"/>
          <w:szCs w:val="20"/>
          <w:color w:val="auto"/>
        </w:rPr>
      </w:pPr>
    </w:p>
    <w:p>
      <w:pPr>
        <w:ind w:left="880" w:hanging="332"/>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rFonts w:ascii="Arial" w:cs="Arial" w:eastAsia="Arial" w:hAnsi="Arial"/>
          <w:sz w:val="18"/>
          <w:szCs w:val="18"/>
          <w:color w:val="auto"/>
        </w:rPr>
      </w:pPr>
    </w:p>
    <w:p>
      <w:pPr>
        <w:ind w:left="880" w:right="520" w:hanging="332"/>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2" w:name="page13"/>
    <w:bookmarkEnd w:id="12"/>
    <w:p>
      <w:pPr>
        <w:ind w:left="880" w:right="140" w:hanging="332"/>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At March 31, 2016 and December 31, 2015,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March 31, 2016 and December 31, 2015, due to their short-term nature.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Property and equipment, which consists of land, construction in process, furniture and fixtures, computers and office equipment, scientific equipment, leasehold improvements and vehicles are stated at cost and depreciated over the estimated useful lives of the assets, with the exception of land and construction in process which are not depreciated, using the straight line method. The useful lives are as follows:</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  Furniture and fixtures (years)</w:t>
            </w:r>
          </w:p>
        </w:tc>
        <w:tc>
          <w:tcPr>
            <w:tcW w:w="4600" w:type="dxa"/>
            <w:vAlign w:val="bottom"/>
          </w:tcPr>
          <w:p>
            <w:pPr>
              <w:ind w:left="840"/>
              <w:spacing w:after="0"/>
              <w:rPr>
                <w:sz w:val="20"/>
                <w:szCs w:val="20"/>
                <w:color w:val="auto"/>
              </w:rPr>
            </w:pPr>
            <w:r>
              <w:rPr>
                <w:rFonts w:ascii="Arial" w:cs="Arial" w:eastAsia="Arial" w:hAnsi="Arial"/>
                <w:sz w:val="18"/>
                <w:szCs w:val="18"/>
                <w:color w:val="auto"/>
              </w:rPr>
              <w:t>7</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Office equipment (years)</w:t>
            </w:r>
          </w:p>
        </w:tc>
        <w:tc>
          <w:tcPr>
            <w:tcW w:w="4600" w:type="dxa"/>
            <w:vAlign w:val="bottom"/>
          </w:tcPr>
          <w:p>
            <w:pPr>
              <w:ind w:left="840"/>
              <w:spacing w:after="0"/>
              <w:rPr>
                <w:sz w:val="20"/>
                <w:szCs w:val="20"/>
                <w:color w:val="auto"/>
              </w:rPr>
            </w:pPr>
            <w:r>
              <w:rPr>
                <w:rFonts w:ascii="Arial" w:cs="Arial" w:eastAsia="Arial" w:hAnsi="Arial"/>
                <w:sz w:val="18"/>
                <w:szCs w:val="18"/>
                <w:color w:val="auto"/>
              </w:rPr>
              <w:t>5</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Leasehold improvements</w:t>
            </w:r>
          </w:p>
        </w:tc>
        <w:tc>
          <w:tcPr>
            <w:tcW w:w="4600" w:type="dxa"/>
            <w:vAlign w:val="bottom"/>
          </w:tcPr>
          <w:p>
            <w:pPr>
              <w:ind w:left="840"/>
              <w:spacing w:after="0"/>
              <w:rPr>
                <w:sz w:val="20"/>
                <w:szCs w:val="20"/>
                <w:color w:val="auto"/>
              </w:rPr>
            </w:pPr>
            <w:r>
              <w:rPr>
                <w:rFonts w:ascii="Arial" w:cs="Arial" w:eastAsia="Arial" w:hAnsi="Arial"/>
                <w:sz w:val="18"/>
                <w:szCs w:val="18"/>
                <w:color w:val="auto"/>
                <w:w w:val="90"/>
              </w:rPr>
              <w:t>Shorter of asset’s useful life or remaining lease term</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Scientific equipment (years)</w:t>
            </w:r>
          </w:p>
        </w:tc>
        <w:tc>
          <w:tcPr>
            <w:tcW w:w="4600" w:type="dxa"/>
            <w:vAlign w:val="bottom"/>
          </w:tcPr>
          <w:p>
            <w:pPr>
              <w:ind w:left="840"/>
              <w:spacing w:after="0"/>
              <w:rPr>
                <w:sz w:val="20"/>
                <w:szCs w:val="20"/>
                <w:color w:val="auto"/>
              </w:rPr>
            </w:pPr>
            <w:r>
              <w:rPr>
                <w:rFonts w:ascii="Arial" w:cs="Arial" w:eastAsia="Arial" w:hAnsi="Arial"/>
                <w:sz w:val="18"/>
                <w:szCs w:val="18"/>
                <w:color w:val="auto"/>
              </w:rPr>
              <w:t>5</w:t>
            </w:r>
          </w:p>
        </w:tc>
      </w:tr>
      <w:tr>
        <w:trPr>
          <w:trHeight w:val="43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60"/>
              <w:spacing w:after="0"/>
              <w:rPr>
                <w:sz w:val="20"/>
                <w:szCs w:val="20"/>
                <w:color w:val="auto"/>
              </w:rPr>
            </w:pPr>
            <w:r>
              <w:rPr>
                <w:rFonts w:ascii="Arial" w:cs="Arial" w:eastAsia="Arial" w:hAnsi="Arial"/>
                <w:sz w:val="18"/>
                <w:szCs w:val="18"/>
                <w:color w:val="auto"/>
              </w:rPr>
              <w:t>Vehicles (years)</w:t>
            </w:r>
          </w:p>
        </w:tc>
        <w:tc>
          <w:tcPr>
            <w:tcW w:w="4600" w:type="dxa"/>
            <w:vAlign w:val="bottom"/>
          </w:tcPr>
          <w:p>
            <w:pPr>
              <w:ind w:left="84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Construction in Progress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Building construction in progress consists of the accumulated expenditures to build the new XBiotech manufacturing facility located in Austin, Texas, which includes the cost for land clearing, architecture design, engineering services, city permits, installation of utilities, construction materials and labor and construction management. Once the building is completed and placed into service, the Company will commence depreciation over its estimated useful life.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March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 xml:space="preserve">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Company considered events or transactions occurring after the balance sheet date but prior to the date the consolidated financial statements are available to be issued for potential recognition or disclosure in its consolidated financial statements. The Company has evaluated subsequent events through the date the consolidated financial statements were available for issuance for potential recognition or disclosure in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Disclosure of Uncertainties about an Entity’s Ability to Continue as a Going Concern</w:t>
      </w:r>
      <w:r>
        <w:rPr>
          <w:rFonts w:ascii="Arial" w:cs="Arial" w:eastAsia="Arial" w:hAnsi="Arial"/>
          <w:sz w:val="18"/>
          <w:szCs w:val="18"/>
          <w:color w:val="auto"/>
        </w:rPr>
        <w:t>. The ASU is intended to define management’s responsibility to evaluate whether there is substantial doubt about an organization’s ability to continue as a going concern and to provide related footnote disclosures. For all entities, the ASU is effective for annual periods ending after December 15, 2016 and interim periods within annual periods beginning after December 15, 2016.</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2016, the FASB issued ASU 2016-02, Leases (Topic 842). The core change with ASU 2016-2 is the requirement for the recognition of lease assets and lease liabilities by lessees for those leases classified as operating leases under previous GAAP. The new standard is effective for fiscal years, and interim periods within those fiscal years, beginning after December 15, 2018, with early adoption permitted. The Company is currently evaluating the effect that the adoption of ASU 2016-02 will have on its financial statements.</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March 2016, the FASB issued ASU No. 2016-09, “Improvements to Employee Share-Based Payment Accounting,” or ASU 2016-09, which amends ASC Topic 718, “Compensation – Stock Compensation.” ASU 2016-09 simplifies several aspects of the accounting for share-based payment transactions, including the income tax consequences, classification of awards as either equity or liabilities, and classification on the statement of cash flows. The standard is effective for fiscal years beginning after December 31, 2016, and interim periods within those years and early adoption is permitted. The Company is currently evaluating how the adoption of this standard will impact its consolidated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did not provide for income taxes in 2016 because the Company has projected net loss for all jurisdictions for the full year 2016. The Company has recorded a full valuation allowance for its net deferred tax assets in 2016 and 2015.</w:t>
      </w:r>
    </w:p>
    <w:p>
      <w:pPr>
        <w:spacing w:after="0" w:line="166"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its Articles, the Company has an unlimited number of shares available for issuance with no par value.</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From January to March 2015, warrants to purchase a total of 164,999 shares of common stock were exercised at $15.00 per share for a total of $2.5 million in proceeds. Also, the Company received approximately $8,000 in January 2015 from 15,000 exercised stock options at $0.55 per share.</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17, 2015, the Company sold 4.0 million shares of common stock at $19.00 per share in its Initial Public Offering (“IPO”) resulting in net proceeds of $70.6 million.</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From April to June 2015, excluding the IPO, the Company issues 208,333 shares of common stock for total proceeds of approximately $3.1 million from the exercise of warrants by common stock shareholders. Also, the Company received $0.7 million from 106,000 exercised stock options.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July 2015, 12,000 stock options were exercised at a price of $2.50 for total proceeds of $30,000.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October through December 31, 2015, 226,141 shares of common stock were issued upon the exercise of stock option at the price $ 0.53 to $10 per share for a total of $639,253.</w:t>
      </w:r>
    </w:p>
    <w:p>
      <w:pPr>
        <w:spacing w:after="0" w:line="174" w:lineRule="exact"/>
        <w:rPr>
          <w:sz w:val="20"/>
          <w:szCs w:val="20"/>
          <w:color w:val="auto"/>
        </w:rPr>
      </w:pPr>
    </w:p>
    <w:p>
      <w:pPr>
        <w:ind w:right="380"/>
        <w:spacing w:after="0" w:line="210" w:lineRule="auto"/>
        <w:rPr>
          <w:sz w:val="20"/>
          <w:szCs w:val="20"/>
          <w:color w:val="auto"/>
        </w:rPr>
      </w:pPr>
      <w:r>
        <w:rPr>
          <w:rFonts w:ascii="Arial" w:cs="Arial" w:eastAsia="Arial" w:hAnsi="Arial"/>
          <w:sz w:val="18"/>
          <w:szCs w:val="18"/>
          <w:color w:val="auto"/>
        </w:rPr>
        <w:t>In January 2016, 13,000 stock options were exercised at a price of $2.50 for total proceeds of $32,500 on January 28</w:t>
      </w:r>
      <w:r>
        <w:rPr>
          <w:rFonts w:ascii="Arial" w:cs="Arial" w:eastAsia="Arial" w:hAnsi="Arial"/>
          <w:sz w:val="30"/>
          <w:szCs w:val="30"/>
          <w:color w:val="auto"/>
          <w:vertAlign w:val="superscript"/>
        </w:rPr>
        <w:t>th</w:t>
      </w:r>
      <w:r>
        <w:rPr>
          <w:rFonts w:ascii="Arial" w:cs="Arial" w:eastAsia="Arial" w:hAnsi="Arial"/>
          <w:sz w:val="18"/>
          <w:szCs w:val="18"/>
          <w:color w:val="auto"/>
        </w:rPr>
        <w:t>. The Company hasn’t received the proceeds by March 31, 2016.</w:t>
      </w:r>
    </w:p>
    <w:p>
      <w:pPr>
        <w:spacing w:after="0" w:line="198"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Options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November 11, 2005, the board of directors of the Company adopted a stock option plan (“the Plan”) pursuant to which the Company may grant incentive stock options to directors, officers, employees or consultants of the Company or an affiliate or other persons as the Compensation Committee may approve.</w:t>
      </w:r>
    </w:p>
    <w:p>
      <w:pPr>
        <w:spacing w:after="0" w:line="12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 director, officer or employee of or consultant to the Company, or in the event of the termination of the participant with cause, the date of such termination.</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A summary of changes in common stock options issued under the Plan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Options outstanding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Forfeitures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Options outstanding at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-121920</wp:posOffset>
            </wp:positionV>
            <wp:extent cx="65176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w w:val="89"/>
              </w:rPr>
              <w:t>Weighted-Average</w:t>
            </w:r>
          </w:p>
        </w:tc>
      </w:tr>
      <w:tr>
        <w:trPr>
          <w:trHeight w:val="234"/>
        </w:trPr>
        <w:tc>
          <w:tcPr>
            <w:tcW w:w="1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Options</w:t>
            </w:r>
          </w:p>
        </w:tc>
        <w:tc>
          <w:tcPr>
            <w:tcW w:w="16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Exercise Price</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Exercise Price</w:t>
            </w:r>
          </w:p>
        </w:tc>
      </w:tr>
      <w:tr>
        <w:trPr>
          <w:trHeight w:val="195"/>
        </w:trPr>
        <w:tc>
          <w:tcPr>
            <w:tcW w:w="156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4,786,577</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$0.53</w:t>
            </w: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99"/>
              </w:rPr>
              <w:t>-</w:t>
            </w:r>
          </w:p>
        </w:tc>
        <w:tc>
          <w:tcPr>
            <w:tcW w:w="640" w:type="dxa"/>
            <w:vAlign w:val="bottom"/>
          </w:tcPr>
          <w:p>
            <w:pPr>
              <w:ind w:left="40"/>
              <w:spacing w:after="0" w:line="195" w:lineRule="exact"/>
              <w:rPr>
                <w:sz w:val="20"/>
                <w:szCs w:val="20"/>
                <w:color w:val="auto"/>
              </w:rPr>
            </w:pPr>
            <w:r>
              <w:rPr>
                <w:rFonts w:ascii="Arial" w:cs="Arial" w:eastAsia="Arial" w:hAnsi="Arial"/>
                <w:sz w:val="18"/>
                <w:szCs w:val="18"/>
                <w:color w:val="auto"/>
              </w:rPr>
              <w:t>$21.99</w:t>
            </w:r>
          </w:p>
        </w:tc>
        <w:tc>
          <w:tcPr>
            <w:tcW w:w="240" w:type="dxa"/>
            <w:vAlign w:val="bottom"/>
          </w:tcPr>
          <w:p>
            <w:pPr>
              <w:ind w:left="100"/>
              <w:spacing w:after="0" w:line="195"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8.02</w:t>
            </w:r>
          </w:p>
        </w:tc>
      </w:tr>
      <w:tr>
        <w:trPr>
          <w:trHeight w:val="216"/>
        </w:trPr>
        <w:tc>
          <w:tcPr>
            <w:tcW w:w="1560" w:type="dxa"/>
            <w:vAlign w:val="bottom"/>
          </w:tcPr>
          <w:p>
            <w:pPr>
              <w:jc w:val="right"/>
              <w:ind w:right="130"/>
              <w:spacing w:after="0"/>
              <w:rPr>
                <w:sz w:val="20"/>
                <w:szCs w:val="20"/>
                <w:color w:val="auto"/>
              </w:rPr>
            </w:pPr>
            <w:r>
              <w:rPr>
                <w:rFonts w:ascii="Arial" w:cs="Arial" w:eastAsia="Arial" w:hAnsi="Arial"/>
                <w:sz w:val="18"/>
                <w:szCs w:val="18"/>
                <w:color w:val="auto"/>
              </w:rPr>
              <w:t>357,833</w:t>
            </w:r>
          </w:p>
        </w:tc>
        <w:tc>
          <w:tcPr>
            <w:tcW w:w="600" w:type="dxa"/>
            <w:vAlign w:val="bottom"/>
          </w:tcPr>
          <w:p>
            <w:pPr>
              <w:jc w:val="right"/>
              <w:spacing w:after="0"/>
              <w:rPr>
                <w:sz w:val="20"/>
                <w:szCs w:val="20"/>
                <w:color w:val="auto"/>
              </w:rPr>
            </w:pPr>
            <w:r>
              <w:rPr>
                <w:rFonts w:ascii="Arial" w:cs="Arial" w:eastAsia="Arial" w:hAnsi="Arial"/>
                <w:sz w:val="18"/>
                <w:szCs w:val="18"/>
                <w:color w:val="auto"/>
              </w:rPr>
              <w:t>7.71</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4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8.01</w:t>
            </w:r>
          </w:p>
        </w:tc>
      </w:tr>
      <w:tr>
        <w:trPr>
          <w:trHeight w:val="230"/>
        </w:trPr>
        <w:tc>
          <w:tcPr>
            <w:tcW w:w="1560" w:type="dxa"/>
            <w:vAlign w:val="bottom"/>
          </w:tcPr>
          <w:p>
            <w:pPr>
              <w:jc w:val="right"/>
              <w:ind w:right="70"/>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5"/>
              </w:rPr>
              <w:t>2.50</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30"/>
        </w:trPr>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(48,250)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16.91</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11.50</w:t>
            </w:r>
          </w:p>
        </w:tc>
      </w:tr>
      <w:tr>
        <w:trPr>
          <w:trHeight w:val="223"/>
        </w:trPr>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5,083,160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$21.99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60"/>
            <w:col w:w="5180"/>
          </w:cols>
          <w:pgMar w:left="240" w:top="125" w:right="319" w:bottom="1440" w:gutter="0" w:footer="0" w:header="0"/>
        </w:sectPr>
      </w:pP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March 31, 2016, there was approximately $4.6 million of unrecognized compensation cost, related to stock options granted under the Plan which will be amortized to stock compensation expense over the next 2.16 years.</w:t>
      </w:r>
    </w:p>
    <w:p>
      <w:pPr>
        <w:spacing w:after="0" w:line="16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summarizes the computation of basic and diluted net loss per share for the three months ended March 31, 2016 and 2015 (in thousands, except share and per share data):</w:t>
      </w:r>
    </w:p>
    <w:p>
      <w:pPr>
        <w:spacing w:after="0" w:line="166"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34"/>
        </w:trPr>
        <w:tc>
          <w:tcPr>
            <w:tcW w:w="20" w:type="dxa"/>
            <w:vAlign w:val="bottom"/>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(10,257)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r>
      <w:tr>
        <w:trPr>
          <w:trHeight w:val="230"/>
        </w:trPr>
        <w:tc>
          <w:tcPr>
            <w:tcW w:w="20" w:type="dxa"/>
            <w:vAlign w:val="bottom"/>
          </w:tcPr>
          <w:p>
            <w:pPr>
              <w:spacing w:after="0"/>
              <w:rPr>
                <w:sz w:val="19"/>
                <w:szCs w:val="19"/>
                <w:color w:val="auto"/>
              </w:rPr>
            </w:pPr>
          </w:p>
        </w:tc>
        <w:tc>
          <w:tcPr>
            <w:tcW w:w="6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Weighted-average number of common shares—basic and diluted</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32,292,106</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27,641,565</w:t>
            </w: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7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Three Month Ended March 31,</w:t>
            </w:r>
          </w:p>
        </w:tc>
      </w:tr>
      <w:tr>
        <w:trPr>
          <w:trHeight w:val="234"/>
        </w:trPr>
        <w:tc>
          <w:tcPr>
            <w:tcW w:w="20" w:type="dxa"/>
            <w:vAlign w:val="bottom"/>
          </w:tcPr>
          <w:p>
            <w:pPr>
              <w:spacing w:after="0"/>
              <w:rPr>
                <w:sz w:val="20"/>
                <w:szCs w:val="20"/>
                <w:color w:val="auto"/>
              </w:rPr>
            </w:pPr>
          </w:p>
        </w:tc>
        <w:tc>
          <w:tcPr>
            <w:tcW w:w="64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5,083,160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4,838,540</w:t>
            </w:r>
          </w:p>
        </w:tc>
      </w:tr>
      <w:tr>
        <w:trPr>
          <w:trHeight w:val="230"/>
        </w:trPr>
        <w:tc>
          <w:tcPr>
            <w:tcW w:w="20" w:type="dxa"/>
            <w:vAlign w:val="bottom"/>
          </w:tcPr>
          <w:p>
            <w:pPr>
              <w:spacing w:after="0"/>
              <w:rPr>
                <w:sz w:val="19"/>
                <w:szCs w:val="19"/>
                <w:color w:val="auto"/>
              </w:rPr>
            </w:pPr>
          </w:p>
        </w:tc>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 to purchase common stock</w:t>
            </w:r>
          </w:p>
        </w:tc>
        <w:tc>
          <w:tcPr>
            <w:tcW w:w="1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208,333</w:t>
            </w:r>
          </w:p>
        </w:tc>
      </w:tr>
      <w:tr>
        <w:trPr>
          <w:trHeight w:val="223"/>
        </w:trPr>
        <w:tc>
          <w:tcPr>
            <w:tcW w:w="20" w:type="dxa"/>
            <w:vAlign w:val="bottom"/>
          </w:tcPr>
          <w:p>
            <w:pPr>
              <w:spacing w:after="0"/>
              <w:rPr>
                <w:sz w:val="19"/>
                <w:szCs w:val="19"/>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5,083,160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5,046,873</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w:t>
        <w:tab/>
        <w:t>Related-Party Transactions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Legal fees of approximately $22,000 were incurred to a law firm for legal services rendered in which a former director of the Company is a senior partner in the three months ended March 31, 2015. The Company had outstanding accounts payable to the same firm in the amount of approximately $12,000 as at March 31, 2015. No related-party transaction incurred in the three months ended March 31, 2016.</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16" w:name="page17"/>
    <w:bookmarkEnd w:id="16"/>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XBiotech is a clinical-stage biopharmaceutical company engaged in discovering and developing True Human™ monoclonal antibodies for treating a variety of different diseases. True Human™ monoclonal antibodies are those which occur naturally in human beings—as opposed to being derived from animal immunization technologies or otherwise engineered. We believe that naturally occurring monoclonal antibodies have the potential to be safer and more effective than their non-naturally occurring counterparts. While primarily focused on bringing our lead product candidate to market, we have also developed a proprietary True Human™ monoclonal antibody discovery platform and manufacturing system.</w:t>
      </w:r>
    </w:p>
    <w:p>
      <w:pPr>
        <w:spacing w:after="0" w:line="18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have never been profitable and, as of March 31, 2016, we had an accumulated deficit of $140.9 million. We had net losses of $10.3 and $8.1 million for three months ended March 31, 2016 and 2015, respectively.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add personnel and begin to operate as a public company. We will need to generate significant revenues to achieve profitability, and we may never do so. As of March 31, 2016, we had 83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and construction of the new manufacturing facility Highlights</w:t>
      </w:r>
    </w:p>
    <w:p>
      <w:pPr>
        <w:spacing w:after="0" w:line="229"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As of March 2016, XBiotech has achieved significant milestones with it's Xilonix™ and 514G3 programs. Enrollment on a Phase III Symptomatic Colorectal Cancer Study has been completed, with enrollment of 335 subjects. Because the study endpoints were satisfactorily met, XBiotech decided to proceed with the submission of a Marketing Authorization Application to the European Medicines Agency, and possibly other foreign regulatory authorities. Additionally, the Staphylococcus Aureus Bacteremia Phase I and II Study with a brand new antibody therapy, 514G3, has completed enrollment for Phase I. Phase II commenced once it was established that there were no dose-related toxicities in Phase I.</w:t>
      </w:r>
    </w:p>
    <w:p>
      <w:pPr>
        <w:spacing w:after="0" w:line="173"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There was significant progress in the Q1 2016 with regard to construction of the new manufacturing facility located in Austin Texas. During the Quarter the build out of the interior administrative and lab spaces continued. Installation of HVAC equipment and duct work, ceiling and wall panels as part of the clean room construction activities also progressed. Construction of utility systems to support manufacturing, including electrical, the purified water system, and gas distribution systems began in Q1 and is progressing on schedule. While construction has moved forward significantly, additional delays due to long lead time equipment procurement have been incurred. XBiotech now anticipates final building completion in the August 2016 time frame with plant shakedown and validation starting immediately thereafter. We should begin producing antibody to support registration of the new facility late in Q3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080" w:firstLine="441"/>
        <w:spacing w:after="0" w:line="308" w:lineRule="auto"/>
        <w:rPr>
          <w:sz w:val="20"/>
          <w:szCs w:val="20"/>
          <w:color w:val="auto"/>
        </w:rPr>
      </w:pPr>
      <w:r>
        <w:rPr>
          <w:rFonts w:ascii="Arial" w:cs="Arial" w:eastAsia="Arial" w:hAnsi="Arial"/>
          <w:sz w:val="17"/>
          <w:szCs w:val="17"/>
          <w:color w:val="auto"/>
        </w:rPr>
        <w:t>To date, we have not generated any revenue. Our ability to generate revenue and become profitable depends on our ability to successfully commercialize our lead product candidate, Xilonix™, or any other product candidate we may advance in the future.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operations as incurred.</w:t>
      </w:r>
    </w:p>
    <w:p>
      <w:pPr>
        <w:spacing w:after="0" w:line="18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March 31, 2016, we have recorded total research and development expenses, including share-based compensation, of $108.9 million. Our total research and development expenses for the three months ended March 31, 2016 and 2015 were $7.8 million and $6.8 million, respectively. Share-based compensation accounted for $0.6 million and $0.5 million for the three months ended March 31, 2016 and 2015, respectively.</w:t>
      </w:r>
    </w:p>
    <w:p>
      <w:pPr>
        <w:spacing w:after="0" w:line="178"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Research and development expenses, as a percentage of total operating expenses for the three months ended March 31, 2016 and 2015 were 76% and 83%, respectively. The percentages,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stock-based compensation, for the three months ended March 31, 2016 and 2015, were 86% and 91%, respectively.</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planned, our clinical costs have increased as we advanced Xilonix™ as an anti-cancer therapy for treating last-line metastatic colorectal cancer, under a regulatory pathway through Phase III clinical trials in the US, Europe, Australia and Israel. We will further expand the studies to South America and Canada, with all territories expected to be active during Q2 2016. Our clinical study underway in Europe, that is regulated by the European Medicines Agency (EMA), completed enrollment in November, 2015. The submission for marketing approval to the EMA was completed in March 2016 which could position the Company to generate related revenues in 2017 if it receives EMA marketing approval and the Company successfully completes its commercialization plan for Xilonix™.</w:t>
      </w:r>
    </w:p>
    <w:p>
      <w:pPr>
        <w:spacing w:after="0" w:line="193"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 xml:space="preserve">The clinical research and development costs will also increase as we have launched a Phase I and II clinical study of novel True Human™ therapeutic antibody for treating serious infections due to </w:t>
      </w:r>
      <w:r>
        <w:rPr>
          <w:rFonts w:ascii="Arial" w:cs="Arial" w:eastAsia="Arial" w:hAnsi="Arial"/>
          <w:sz w:val="18"/>
          <w:szCs w:val="18"/>
          <w:i w:val="1"/>
          <w:iCs w:val="1"/>
          <w:color w:val="auto"/>
        </w:rPr>
        <w:t>Staphylococcus aureus</w:t>
      </w:r>
      <w:r>
        <w:rPr>
          <w:rFonts w:ascii="Arial" w:cs="Arial" w:eastAsia="Arial" w:hAnsi="Arial"/>
          <w:sz w:val="18"/>
          <w:szCs w:val="18"/>
          <w:color w:val="auto"/>
        </w:rPr>
        <w:t xml:space="preserve"> in the U.S. We expect to complete expansion of this study into Europe, South Korea and Taiwan for participation in the Phase II portion by the end of Q3 2016.</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Company’s plans to pursue an advanced regulatory path for Pyoderma Gangrenosum is on hold indefinitely while we await the outcome of other programs in later stages of development. In the meantime, based on the results of our preclinical studies, we anticipate that we will select drug candidates and research projects for further development on an ongoing basis in response to their preclinical and clinical success as well as commercial potential. For R&amp;D candidates in early stages of development, it is premature to estimate when material net cash inflows from these projects might occur.</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Due to the fact that our drug candidates are in the early stage of development, we cannot estimate anticipated completion dates and when we might receive material net cash inflows from our research and development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stock–based compensation, and professional fees for legal services. Our total general and administration expenses for the three months ended March 31, 2016 and 2015 were $2.4 million and $1.4 million, respectively. Share-based compensation accounted for $1.2 million and $0.8 million for the three months ended March 31, 2016 and 2015,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340" w:firstLine="441"/>
        <w:spacing w:after="0" w:line="312"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conformity with generally accepted accounting principles in the United States, or US GAAP. The preparation of our financial statements requires us to make estimates and assumptions that affect the reported amounts of assets and liabilities and expenses incurred during the reported periods.</w:t>
      </w:r>
    </w:p>
    <w:p>
      <w:pPr>
        <w:spacing w:after="0" w:line="14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While our significant accounting policies are more fully described in the notes to our financial statements appearing in this prospectus, we believe that the following accounting policies are the most critical to understanding and evaluating our reported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Stock-based awards are measured at fair value at each grant date. We recognize stock-based compensation expenses ratably over the requisite service period of the option award.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Stock-Based Compensation Grants</w:t>
      </w:r>
    </w:p>
    <w:p>
      <w:pPr>
        <w:spacing w:after="0" w:line="225" w:lineRule="exact"/>
        <w:rPr>
          <w:sz w:val="20"/>
          <w:szCs w:val="20"/>
          <w:color w:val="auto"/>
        </w:rPr>
      </w:pPr>
    </w:p>
    <w:p>
      <w:pPr>
        <w:jc w:val="both"/>
        <w:ind w:right="20" w:firstLine="441"/>
        <w:spacing w:after="0" w:line="288" w:lineRule="auto"/>
        <w:rPr>
          <w:sz w:val="20"/>
          <w:szCs w:val="20"/>
          <w:color w:val="auto"/>
        </w:rPr>
      </w:pPr>
      <w:r>
        <w:rPr>
          <w:rFonts w:ascii="Arial" w:cs="Arial" w:eastAsia="Arial" w:hAnsi="Arial"/>
          <w:sz w:val="16"/>
          <w:szCs w:val="16"/>
          <w:color w:val="auto"/>
        </w:rPr>
        <w:t>The determination of the fair value of stock-based compensation arrangements is affected by a number of variables, including estimates of the fair value of our common stock,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w:t>
      </w:r>
    </w:p>
    <w:p>
      <w:pPr>
        <w:ind w:right="100"/>
        <w:spacing w:after="0" w:line="253" w:lineRule="auto"/>
        <w:rPr>
          <w:sz w:val="20"/>
          <w:szCs w:val="20"/>
          <w:color w:val="auto"/>
        </w:rPr>
      </w:pPr>
      <w:r>
        <w:rPr>
          <w:rFonts w:ascii="Arial" w:cs="Arial" w:eastAsia="Arial" w:hAnsi="Arial"/>
          <w:sz w:val="18"/>
          <w:szCs w:val="18"/>
          <w:color w:val="auto"/>
        </w:rPr>
        <w:t>Black-Scholes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IPO in April 2015, we issued common stock for cash consideration to new investors. We believe that such transactions represent the best evidence of fair value of our common stock. Therefore, we used the sales price of our common stock during the three months ended March 31,2015 as the fair value of our common stock.</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assumptions used for estimating the fair value of stock options granted during the periods indicated:</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2016</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2015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68%</w:t>
            </w:r>
          </w:p>
        </w:tc>
        <w:tc>
          <w:tcPr>
            <w:tcW w:w="74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8"/>
              </w:rPr>
              <w:t>68%</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20"/>
              <w:spacing w:after="0"/>
              <w:rPr>
                <w:sz w:val="20"/>
                <w:szCs w:val="20"/>
                <w:color w:val="auto"/>
              </w:rPr>
            </w:pPr>
            <w:r>
              <w:rPr>
                <w:rFonts w:ascii="Arial" w:cs="Arial" w:eastAsia="Arial" w:hAnsi="Arial"/>
                <w:sz w:val="18"/>
                <w:szCs w:val="18"/>
                <w:color w:val="auto"/>
              </w:rPr>
              <w:t>10</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$9.56</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ind w:right="500" w:firstLine="441"/>
        <w:spacing w:after="0" w:line="264" w:lineRule="auto"/>
        <w:rPr>
          <w:sz w:val="20"/>
          <w:szCs w:val="20"/>
          <w:color w:val="auto"/>
        </w:rPr>
      </w:pPr>
      <w:r>
        <w:rPr>
          <w:rFonts w:ascii="Arial" w:cs="Arial" w:eastAsia="Arial" w:hAnsi="Arial"/>
          <w:sz w:val="18"/>
          <w:szCs w:val="18"/>
          <w:color w:val="auto"/>
        </w:rPr>
        <w:t>We based our estimate of pre-vesting forfeitures, or forfeiture rate, on historical forfeiture rates. We apply the estimated forfeiture rate to the total estimated fair value of the awards, as derived from the Black-Scholes model, to compute the stock-based compensation expenses, net of pre-vesting forfeitures, to be recognized in our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record any revenue during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28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Increase</w:t>
            </w: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55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5"/>
              </w:rPr>
              <w:t>(Decrease)</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Laboratory and manufacturing supplies</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(559)</w:t>
            </w: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and sponsored research</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597</w:t>
            </w:r>
          </w:p>
        </w:tc>
        <w:tc>
          <w:tcPr>
            <w:tcW w:w="4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280" w:type="dxa"/>
            <w:vAlign w:val="bottom"/>
          </w:tcPr>
          <w:p>
            <w:pPr>
              <w:spacing w:after="0"/>
              <w:rPr>
                <w:sz w:val="18"/>
                <w:szCs w:val="18"/>
                <w:color w:val="auto"/>
              </w:rPr>
            </w:pP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141</w:t>
            </w: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874</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4"/>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7,812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6,784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1,028</w:t>
            </w: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right="120" w:firstLine="441"/>
        <w:spacing w:after="0" w:line="312"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47" w:lineRule="exact"/>
        <w:rPr>
          <w:sz w:val="20"/>
          <w:szCs w:val="20"/>
          <w:color w:val="auto"/>
        </w:rPr>
      </w:pPr>
    </w:p>
    <w:p>
      <w:pPr>
        <w:jc w:val="both"/>
        <w:ind w:right="180" w:firstLine="441"/>
        <w:spacing w:after="0" w:line="312" w:lineRule="auto"/>
        <w:rPr>
          <w:sz w:val="20"/>
          <w:szCs w:val="20"/>
          <w:color w:val="auto"/>
        </w:rPr>
      </w:pPr>
      <w:r>
        <w:rPr>
          <w:rFonts w:ascii="Arial" w:cs="Arial" w:eastAsia="Arial" w:hAnsi="Arial"/>
          <w:sz w:val="16"/>
          <w:szCs w:val="16"/>
          <w:color w:val="auto"/>
        </w:rPr>
        <w:t>Research and development expenses increased by $10.0 million to $7.8 million for the three months ended March 31, 2016, compared to $6.8 million for the three months ended March 31, 2015. This increase was principally due to a $10.0 million increase in clinical trial activities mainly in Europe and the US. Labor costs also increased due to the increase of current employee’s salaries and increase in the size of the workforce from 39 to 75.</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and administrative costs are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2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Three Months Ended March 31,</w:t>
            </w:r>
          </w:p>
        </w:tc>
        <w:tc>
          <w:tcPr>
            <w:tcW w:w="24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Increase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Increase</w:t>
            </w:r>
          </w:p>
        </w:tc>
      </w:tr>
      <w:tr>
        <w:trPr>
          <w:trHeight w:val="234"/>
        </w:trPr>
        <w:tc>
          <w:tcPr>
            <w:tcW w:w="388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1"/>
              </w:rPr>
              <w:t>(Decrease)</w:t>
            </w: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(Decrease)</w:t>
            </w: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expenses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328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Patent filing expense</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3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452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Professional fees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tcPr>
          <w:p>
            <w:pPr>
              <w:spacing w:after="0"/>
              <w:rPr>
                <w:sz w:val="19"/>
                <w:szCs w:val="19"/>
                <w:color w:val="auto"/>
              </w:rPr>
            </w:pP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2,436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1,015</w:t>
            </w: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634"/>
        </w:trPr>
        <w:tc>
          <w:tcPr>
            <w:tcW w:w="3880" w:type="dxa"/>
            <w:vAlign w:val="bottom"/>
          </w:tcPr>
          <w:p>
            <w:pPr>
              <w:spacing w:after="0"/>
              <w:rPr>
                <w:sz w:val="24"/>
                <w:szCs w:val="24"/>
                <w:color w:val="auto"/>
              </w:rPr>
            </w:pPr>
          </w:p>
        </w:tc>
        <w:tc>
          <w:tcPr>
            <w:tcW w:w="214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38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ind w:right="80" w:firstLine="441"/>
        <w:spacing w:after="0" w:line="279" w:lineRule="auto"/>
        <w:rPr>
          <w:sz w:val="20"/>
          <w:szCs w:val="20"/>
          <w:color w:val="auto"/>
        </w:rPr>
      </w:pPr>
      <w:r>
        <w:rPr>
          <w:rFonts w:ascii="Arial" w:cs="Arial" w:eastAsia="Arial" w:hAnsi="Arial"/>
          <w:sz w:val="17"/>
          <w:szCs w:val="17"/>
          <w:color w:val="auto"/>
        </w:rPr>
        <w:t>General and administrative expense increased by $1.0 million to $2.4 million for the three months ended March 31, 2016, compared to $1.4 million for the three months ended March 31, 2015. The increase was primarily related to increase in stock–based compensation expenses of $0.5 million, due to the grant of stock options to board members in 2016 that were immediately vested. The increase is also due to higher salaries and related expenses in 2016 because of the growing size of our workforce and a $135,100 bonus payment to an executive officer in March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7000" w:type="dxa"/>
            <w:vAlign w:val="bottom"/>
            <w:gridSpan w:val="2"/>
          </w:tcPr>
          <w:p>
            <w:pPr>
              <w:ind w:left="660"/>
              <w:spacing w:after="0"/>
              <w:rPr>
                <w:sz w:val="20"/>
                <w:szCs w:val="20"/>
                <w:color w:val="auto"/>
              </w:rPr>
            </w:pPr>
            <w:r>
              <w:rPr>
                <w:rFonts w:ascii="Arial" w:cs="Arial" w:eastAsia="Arial" w:hAnsi="Arial"/>
                <w:sz w:val="18"/>
                <w:szCs w:val="18"/>
                <w:color w:val="auto"/>
              </w:rPr>
              <w:t>The following table summarizes other income (in thousands):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4"/>
        </w:trPr>
        <w:tc>
          <w:tcPr>
            <w:tcW w:w="17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34"/>
        </w:trPr>
        <w:tc>
          <w:tcPr>
            <w:tcW w:w="1720" w:type="dxa"/>
            <w:vAlign w:val="bottom"/>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10"/>
        </w:trPr>
        <w:tc>
          <w:tcPr>
            <w:tcW w:w="17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17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income consists primarily of a $9 thousand loss for the three months ended March 31, 2016 compared to a $91 thousand gain for the three months ended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Our cash requirements could change materially as a result of the progress of our research and development and clinical programs, licensing activities, acquisitions, divestitures or other corporate developments.</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Since our inception on March 22, 2005 through March 31, 2016, we have funded our operations principally through the private placement of equity securities, which have provided aggregate cash proceeds of approximately $221.0 million. The following table summarizes our sources and uses of cash (in thousands):</w:t>
      </w:r>
    </w:p>
    <w:p>
      <w:pPr>
        <w:sectPr>
          <w:pgSz w:w="11900" w:h="16838" w:orient="portrait"/>
          <w:cols w:equalWidth="0" w:num="1">
            <w:col w:w="11420"/>
          </w:cols>
          <w:pgMar w:left="240" w:top="125" w:right="239" w:bottom="1440" w:gutter="0" w:footer="0" w:header="0"/>
        </w:sect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cash (used in) provided by:</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-130810</wp:posOffset>
            </wp:positionV>
            <wp:extent cx="687768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right="2500"/>
        <w:spacing w:after="0" w:line="276" w:lineRule="auto"/>
        <w:rPr>
          <w:sz w:val="20"/>
          <w:szCs w:val="20"/>
          <w:color w:val="auto"/>
        </w:rPr>
      </w:pPr>
      <w:r>
        <w:rPr>
          <w:rFonts w:ascii="Arial" w:cs="Arial" w:eastAsia="Arial" w:hAnsi="Arial"/>
          <w:sz w:val="18"/>
          <w:szCs w:val="18"/>
          <w:color w:val="auto"/>
        </w:rPr>
        <w:t>Effect of foreign exchange rate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-155575</wp:posOffset>
            </wp:positionV>
            <wp:extent cx="68776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195"/>
        </w:trPr>
        <w:tc>
          <w:tcPr>
            <w:tcW w:w="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(9,947)</w:t>
            </w:r>
          </w:p>
        </w:tc>
        <w:tc>
          <w:tcPr>
            <w:tcW w:w="4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(6,531)</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2,107</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(12,826)</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(5,093)</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60" w:space="720"/>
            <w:col w:w="3540"/>
          </w:cols>
          <w:pgMar w:left="240" w:top="125" w:right="239" w:bottom="1440" w:gutter="0" w:footer="0" w:header="0"/>
          <w:type w:val="continuous"/>
        </w:sectPr>
      </w:pPr>
    </w:p>
    <w:p>
      <w:pPr>
        <w:spacing w:after="0" w:line="2"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During the three months ended March 31, 2016 and 2015, our operating activities used net cash of $9.9 million and $6.5 million, respectively. The use of net cash in each of these periods primarily resulted from our net losses. The increase in net loss from operations for the three months ended March 31, 2016 as compared to the three months ended March 31, 2015 was due to increases in clinical trial activities in Europe and the US and the labor cost.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ind w:right="60" w:firstLine="441"/>
        <w:spacing w:after="0" w:line="264" w:lineRule="auto"/>
        <w:rPr>
          <w:sz w:val="20"/>
          <w:szCs w:val="20"/>
          <w:color w:val="auto"/>
        </w:rPr>
      </w:pPr>
      <w:r>
        <w:rPr>
          <w:rFonts w:ascii="Arial" w:cs="Arial" w:eastAsia="Arial" w:hAnsi="Arial"/>
          <w:sz w:val="18"/>
          <w:szCs w:val="18"/>
          <w:color w:val="auto"/>
        </w:rPr>
        <w:t>During the three months ended March 31, 2016 and 2015, our investing activities used net cash of $2.9 million and $0.6 million, respectively. We spent approximately $2.6 million more on the construction of new facilities during the three months ended March 31, 2016 compared to the three months ended March 31, 2015.</w:t>
      </w:r>
    </w:p>
    <w:p>
      <w:pPr>
        <w:spacing w:after="0" w:line="18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During the three months ended March 31, 2015, our financing activities provided net cash proceeds of $2.1 million and no cash provided in the three months ended March 31, 2016. During the three months ended March 31, 2015, we received requests from investors for the exercise of warrants to purchase a total of 164,999 shares of common stock at $15.00 per share for a total of approximately $2.4 million in net proceeds, and we also incurred deferred offering costs of $712 thousand, which consist of direct incremental legal, accounting and other professional service fees related to our IPO. In January 2015, we received the previously outstanding subscription receivable in the amount of $410 thousand.</w:t>
      </w:r>
    </w:p>
    <w:p>
      <w:pPr>
        <w:spacing w:after="0" w:line="173"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color w:val="auto"/>
        </w:rPr>
        <w:t>We expect to continue to incur substantial operating losses in the future. We will not receive any product revenue until a drug candidate has been approved by the FDA or similar regulatory agencies in other countries and successfully commercialized. As of March 31, 2016, our principal sources of liquidity were our cash and cash equivalents, which totaled approximately $78.2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340" w:firstLine="441"/>
        <w:spacing w:after="0" w:line="302" w:lineRule="auto"/>
        <w:rPr>
          <w:sz w:val="20"/>
          <w:szCs w:val="20"/>
          <w:color w:val="auto"/>
        </w:rPr>
      </w:pPr>
      <w:r>
        <w:rPr>
          <w:rFonts w:ascii="Arial" w:cs="Arial" w:eastAsia="Arial" w:hAnsi="Arial"/>
          <w:sz w:val="16"/>
          <w:szCs w:val="16"/>
          <w:color w:val="auto"/>
        </w:rPr>
        <w:t>On January 12, 2008, we entered a lease agreement to lease our facility in Austin, Texas. On September 15, 2010, we entered into a second lease agreement to lease additional space in Austin, Texas. On March 20, 2014, we extended the lease for an additional 21 months on the same terms and rental rates as the current lease. Rent expense was $179 thousand and $105 thousand for the three months ended March 31, 2016 and 2015, respectively. On February 28, 2015, we extended the lease for another 4 years. The future minimum lease payments are as follows as of March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More than 3</w:t>
            </w: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1 Year</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years</w:t>
            </w: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Since inception, we have not engaged in any off-balance sheet activities, including the use of structured finance, special purpose entities or variable interest entities.</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29"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As of the end of the period covered by this Quarterly Report on Form 10-Q,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first quarter of the year ended December 31, 2016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On December 1, 2015, a purported securities class action complaint captioned </w:t>
      </w:r>
      <w:r>
        <w:rPr>
          <w:rFonts w:ascii="Arial" w:cs="Arial" w:eastAsia="Arial" w:hAnsi="Arial"/>
          <w:sz w:val="17"/>
          <w:szCs w:val="17"/>
          <w:i w:val="1"/>
          <w:iCs w:val="1"/>
          <w:color w:val="auto"/>
        </w:rPr>
        <w:t>Yogina Rezko v. XBiotech Inc., John Simard, Queena Han and WR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Hambrecht &amp; Co., LLC </w:t>
      </w:r>
      <w:r>
        <w:rPr>
          <w:rFonts w:ascii="Arial" w:cs="Arial" w:eastAsia="Arial" w:hAnsi="Arial"/>
          <w:sz w:val="17"/>
          <w:szCs w:val="17"/>
          <w:color w:val="auto"/>
        </w:rPr>
        <w:t>was filed against us, certain of our officers and directors and the underwriter for our initial public offering in the Superior Court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State of California, Los Angeles County. On December 2, 2015, a purported securities class action complaint captioned </w:t>
      </w:r>
      <w:r>
        <w:rPr>
          <w:rFonts w:ascii="Arial" w:cs="Arial" w:eastAsia="Arial" w:hAnsi="Arial"/>
          <w:sz w:val="17"/>
          <w:szCs w:val="17"/>
          <w:i w:val="1"/>
          <w:iCs w:val="1"/>
          <w:color w:val="auto"/>
        </w:rPr>
        <w:t>Linh Tran v. XBiotech Inc., John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Simard and Queena Han </w:t>
      </w:r>
      <w:r>
        <w:rPr>
          <w:rFonts w:ascii="Arial" w:cs="Arial" w:eastAsia="Arial" w:hAnsi="Arial"/>
          <w:sz w:val="17"/>
          <w:szCs w:val="17"/>
          <w:color w:val="auto"/>
        </w:rPr>
        <w:t>was filed against us and certain of our officers and directors in U.S. District Court for the Western District of Texas. The lawsuits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substantially similar factual allegations and purport to be class actions brought on behalf of purchasers of the Company’s securities during the period from April 15, 2015 through November 23, 2015. The complaint filed in California state court alleges that the defendants violated the Securities Act of 1933, as amended (the “Securities Act”), and the complaint filed in federal court alleges that the defendants violated the Securities Exchange Act of 1934, as amended (the “Exchange Act”), in each case by making materially false and misleading statements concerning the Company’s Phase III clinical trial conducted in Europe to assess Xilonix™ as a treatment for colorectal cancer. The California complaint purports to assert claims for violations of Sections 11, 12(a)(2) and 15 of the Securities Act, and the federal complaint purports to assert claims for violation of Sections 10(b) and 20(a) of the Exchange Act and Rule 10b-5 promulgated thereunder. Both complaints seek, on behalf of the purported class, an unspecified amount of monetary damages, interest, fees and expenses of attorneys and experts, and other relief.</w:t>
      </w:r>
    </w:p>
    <w:p>
      <w:pPr>
        <w:spacing w:after="0" w:line="180"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Both the federal case and the California case are in the early procedural stages. On February 24th, 2016, following a proceeding to select a lead plaintiff in the federal case, the court issued an order appointing Mr. Kresimir Corak as lead plaintiff. The plaintiff filed an amended complaint in the federal case on April 8th, 2016. In the California case, we expect the plaintiffs to file an amended complaint in May 2016, and we anticipate making certain procedural motions also in May 2016. No trial or other dates have been set.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year ended December 31, 2015. Please carefully consider the information set forth in this Quarterly Report on Form 10-Q and the risk factors discussed in Part I, “Item 1A. Risk Factors” in our Annual Report on Form 10-K for the year ended December 31, 2015,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4" w:name="page25"/>
    <w:bookmarkEnd w:id="24"/>
    <w:p>
      <w:pPr>
        <w:jc w:val="center"/>
        <w:ind w:right="77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Item 6. Exhibits.</w:t>
            </w:r>
          </w:p>
        </w:tc>
        <w:tc>
          <w:tcPr>
            <w:tcW w:w="9900" w:type="dxa"/>
            <w:vAlign w:val="bottom"/>
          </w:tcPr>
          <w:p>
            <w:pPr>
              <w:spacing w:after="0"/>
              <w:rPr>
                <w:sz w:val="20"/>
                <w:szCs w:val="20"/>
                <w:color w:val="auto"/>
              </w:rPr>
            </w:pPr>
          </w:p>
        </w:tc>
      </w:tr>
      <w:tr>
        <w:trPr>
          <w:trHeight w:val="418"/>
        </w:trPr>
        <w:tc>
          <w:tcPr>
            <w:tcW w:w="1380" w:type="dxa"/>
            <w:vAlign w:val="bottom"/>
          </w:tcPr>
          <w:p>
            <w:pPr>
              <w:jc w:val="right"/>
              <w:ind w:right="550"/>
              <w:spacing w:after="0"/>
              <w:rPr>
                <w:sz w:val="20"/>
                <w:szCs w:val="20"/>
                <w:color w:val="auto"/>
              </w:rPr>
            </w:pPr>
            <w:r>
              <w:rPr>
                <w:rFonts w:ascii="Arial" w:cs="Arial" w:eastAsia="Arial" w:hAnsi="Arial"/>
                <w:sz w:val="18"/>
                <w:szCs w:val="18"/>
                <w:color w:val="auto"/>
              </w:rPr>
              <w:t>31.1</w:t>
            </w:r>
          </w:p>
        </w:tc>
        <w:tc>
          <w:tcPr>
            <w:tcW w:w="9900" w:type="dxa"/>
            <w:vAlign w:val="bottom"/>
          </w:tcPr>
          <w:p>
            <w:pPr>
              <w:ind w:left="480"/>
              <w:spacing w:after="0"/>
              <w:rPr>
                <w:sz w:val="20"/>
                <w:szCs w:val="20"/>
                <w:color w:val="auto"/>
              </w:rPr>
            </w:pPr>
            <w:r>
              <w:rPr>
                <w:rFonts w:ascii="Arial" w:cs="Arial" w:eastAsia="Arial" w:hAnsi="Arial"/>
                <w:sz w:val="18"/>
                <w:szCs w:val="18"/>
                <w:color w:val="auto"/>
                <w:w w:val="91"/>
              </w:rPr>
              <w:t>Certification of Principal Executive Officer Required Under Rule 13a-14(a) and 15d-14(a) of the Securities Exchange Act of 1934,</w:t>
            </w:r>
          </w:p>
        </w:tc>
      </w:tr>
      <w:tr>
        <w:trPr>
          <w:trHeight w:val="230"/>
        </w:trPr>
        <w:tc>
          <w:tcPr>
            <w:tcW w:w="138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as amended.</w:t>
            </w:r>
          </w:p>
        </w:tc>
      </w:tr>
      <w:tr>
        <w:trPr>
          <w:trHeight w:val="418"/>
        </w:trPr>
        <w:tc>
          <w:tcPr>
            <w:tcW w:w="1380" w:type="dxa"/>
            <w:vAlign w:val="bottom"/>
          </w:tcPr>
          <w:p>
            <w:pPr>
              <w:jc w:val="right"/>
              <w:ind w:right="550"/>
              <w:spacing w:after="0"/>
              <w:rPr>
                <w:sz w:val="20"/>
                <w:szCs w:val="20"/>
                <w:color w:val="auto"/>
              </w:rPr>
            </w:pPr>
            <w:r>
              <w:rPr>
                <w:rFonts w:ascii="Arial" w:cs="Arial" w:eastAsia="Arial" w:hAnsi="Arial"/>
                <w:sz w:val="18"/>
                <w:szCs w:val="18"/>
                <w:color w:val="auto"/>
              </w:rPr>
              <w:t>31.2</w:t>
            </w:r>
          </w:p>
        </w:tc>
        <w:tc>
          <w:tcPr>
            <w:tcW w:w="9900" w:type="dxa"/>
            <w:vAlign w:val="bottom"/>
          </w:tcPr>
          <w:p>
            <w:pPr>
              <w:ind w:left="480"/>
              <w:spacing w:after="0"/>
              <w:rPr>
                <w:sz w:val="20"/>
                <w:szCs w:val="20"/>
                <w:color w:val="auto"/>
              </w:rPr>
            </w:pPr>
            <w:r>
              <w:rPr>
                <w:rFonts w:ascii="Arial" w:cs="Arial" w:eastAsia="Arial" w:hAnsi="Arial"/>
                <w:sz w:val="18"/>
                <w:szCs w:val="18"/>
                <w:color w:val="auto"/>
                <w:w w:val="92"/>
              </w:rPr>
              <w:t>Certification of Principal Financial Officer Required Under Rule 13a-14(a) and 15d-14(a) of the Securities Exchange Act of 1934,</w:t>
            </w:r>
          </w:p>
        </w:tc>
      </w:tr>
      <w:tr>
        <w:trPr>
          <w:trHeight w:val="230"/>
        </w:trPr>
        <w:tc>
          <w:tcPr>
            <w:tcW w:w="138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as amended.</w:t>
            </w:r>
          </w:p>
        </w:tc>
      </w:tr>
      <w:tr>
        <w:trPr>
          <w:trHeight w:val="418"/>
        </w:trPr>
        <w:tc>
          <w:tcPr>
            <w:tcW w:w="1380" w:type="dxa"/>
            <w:vAlign w:val="bottom"/>
          </w:tcPr>
          <w:p>
            <w:pPr>
              <w:jc w:val="right"/>
              <w:ind w:right="550"/>
              <w:spacing w:after="0"/>
              <w:rPr>
                <w:sz w:val="20"/>
                <w:szCs w:val="20"/>
                <w:color w:val="auto"/>
              </w:rPr>
            </w:pPr>
            <w:r>
              <w:rPr>
                <w:rFonts w:ascii="Arial" w:cs="Arial" w:eastAsia="Arial" w:hAnsi="Arial"/>
                <w:sz w:val="18"/>
                <w:szCs w:val="18"/>
                <w:color w:val="auto"/>
              </w:rPr>
              <w:t>32.1</w:t>
            </w:r>
          </w:p>
        </w:tc>
        <w:tc>
          <w:tcPr>
            <w:tcW w:w="9900" w:type="dxa"/>
            <w:vAlign w:val="bottom"/>
          </w:tcPr>
          <w:p>
            <w:pPr>
              <w:ind w:left="480"/>
              <w:spacing w:after="0"/>
              <w:rPr>
                <w:sz w:val="20"/>
                <w:szCs w:val="20"/>
                <w:color w:val="auto"/>
              </w:rPr>
            </w:pPr>
            <w:r>
              <w:rPr>
                <w:rFonts w:ascii="Arial" w:cs="Arial" w:eastAsia="Arial" w:hAnsi="Arial"/>
                <w:sz w:val="18"/>
                <w:szCs w:val="18"/>
                <w:color w:val="auto"/>
                <w:w w:val="97"/>
              </w:rPr>
              <w:t>Certification of Principal Executive Officer and Principal Financial Officer Required Under Rule 13a-14(b) of the Securities</w:t>
            </w:r>
          </w:p>
        </w:tc>
      </w:tr>
      <w:tr>
        <w:trPr>
          <w:trHeight w:val="230"/>
        </w:trPr>
        <w:tc>
          <w:tcPr>
            <w:tcW w:w="1380" w:type="dxa"/>
            <w:vAlign w:val="bottom"/>
          </w:tcPr>
          <w:p>
            <w:pPr>
              <w:spacing w:after="0"/>
              <w:rPr>
                <w:sz w:val="20"/>
                <w:szCs w:val="20"/>
                <w:color w:val="auto"/>
              </w:rPr>
            </w:pPr>
          </w:p>
        </w:tc>
        <w:tc>
          <w:tcPr>
            <w:tcW w:w="9900" w:type="dxa"/>
            <w:vAlign w:val="bottom"/>
          </w:tcPr>
          <w:p>
            <w:pPr>
              <w:ind w:left="120"/>
              <w:spacing w:after="0"/>
              <w:rPr>
                <w:sz w:val="20"/>
                <w:szCs w:val="20"/>
                <w:color w:val="auto"/>
              </w:rPr>
            </w:pPr>
            <w:r>
              <w:rPr>
                <w:rFonts w:ascii="Arial" w:cs="Arial" w:eastAsia="Arial" w:hAnsi="Arial"/>
                <w:sz w:val="18"/>
                <w:szCs w:val="18"/>
                <w:color w:val="auto"/>
              </w:rPr>
              <w:t>Exchange Act of 1934, as amended, and 18 U.S.C. §1350.</w:t>
            </w:r>
          </w:p>
        </w:tc>
      </w:tr>
    </w:tbl>
    <w:p>
      <w:pPr>
        <w:spacing w:after="0" w:line="200" w:lineRule="exact"/>
        <w:rPr>
          <w:sz w:val="20"/>
          <w:szCs w:val="20"/>
          <w:color w:val="auto"/>
        </w:rPr>
      </w:pPr>
    </w:p>
    <w:p>
      <w:pPr>
        <w:spacing w:after="0" w:line="218" w:lineRule="exact"/>
        <w:rPr>
          <w:sz w:val="20"/>
          <w:szCs w:val="20"/>
          <w:color w:val="auto"/>
        </w:rPr>
      </w:pPr>
    </w:p>
    <w:p>
      <w:pPr>
        <w:jc w:val="both"/>
        <w:ind w:left="1500" w:hanging="1053"/>
        <w:spacing w:after="0" w:line="279" w:lineRule="auto"/>
        <w:tabs>
          <w:tab w:leader="none" w:pos="1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following financial statements from the XBiotech Inc. Quarterly Report on Form 10-Q for the quarter ended March 31, 2016, formatted in Extensive Business Reporting Language (XBRL): (i) condensed consolidated balance sheets, (ii) condensed consolidated statements of operations, (iii) condensed consolidated statements of comprehensive loss, (iv) condensed consolidated statements of cash flows and (v) notes to condensed consolidated financial statements (detail tagged).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Arial" w:cs="Arial" w:eastAsia="Arial" w:hAnsi="Arial"/>
                <w:sz w:val="18"/>
                <w:szCs w:val="18"/>
                <w:color w:val="auto"/>
              </w:rPr>
              <w:t>Date: May 13, 2016</w:t>
            </w:r>
          </w:p>
        </w:tc>
        <w:tc>
          <w:tcPr>
            <w:tcW w:w="2140" w:type="dxa"/>
            <w:vAlign w:val="bottom"/>
          </w:tcPr>
          <w:p>
            <w:pPr>
              <w:spacing w:after="0"/>
              <w:rPr>
                <w:sz w:val="20"/>
                <w:szCs w:val="20"/>
                <w:color w:val="auto"/>
              </w:rPr>
            </w:pPr>
          </w:p>
        </w:tc>
        <w:tc>
          <w:tcPr>
            <w:tcW w:w="4260" w:type="dxa"/>
            <w:vAlign w:val="bottom"/>
            <w:gridSpan w:val="2"/>
          </w:tcPr>
          <w:p>
            <w:pPr>
              <w:ind w:left="60"/>
              <w:spacing w:after="0"/>
              <w:rPr>
                <w:sz w:val="20"/>
                <w:szCs w:val="20"/>
                <w:color w:val="auto"/>
              </w:rPr>
            </w:pPr>
            <w:r>
              <w:rPr>
                <w:rFonts w:ascii="Arial" w:cs="Arial" w:eastAsia="Arial" w:hAnsi="Arial"/>
                <w:sz w:val="18"/>
                <w:szCs w:val="18"/>
                <w:b w:val="1"/>
                <w:bCs w:val="1"/>
                <w:color w:val="auto"/>
              </w:rPr>
              <w:t>XBIOTECH INC.</w:t>
            </w:r>
          </w:p>
        </w:tc>
      </w:tr>
      <w:tr>
        <w:trPr>
          <w:trHeight w:val="864"/>
        </w:trPr>
        <w:tc>
          <w:tcPr>
            <w:tcW w:w="3320" w:type="dxa"/>
            <w:vAlign w:val="bottom"/>
          </w:tcPr>
          <w:p>
            <w:pPr>
              <w:spacing w:after="0"/>
              <w:rPr>
                <w:sz w:val="24"/>
                <w:szCs w:val="24"/>
                <w:color w:val="auto"/>
              </w:rPr>
            </w:pPr>
          </w:p>
        </w:tc>
        <w:tc>
          <w:tcPr>
            <w:tcW w:w="2140" w:type="dxa"/>
            <w:vAlign w:val="bottom"/>
          </w:tcPr>
          <w:p>
            <w:pPr>
              <w:ind w:left="184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/S/ John Simard</w:t>
            </w:r>
          </w:p>
        </w:tc>
      </w:tr>
      <w:tr>
        <w:trPr>
          <w:trHeight w:val="195"/>
        </w:trPr>
        <w:tc>
          <w:tcPr>
            <w:tcW w:w="3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John Simard</w:t>
            </w:r>
          </w:p>
        </w:tc>
      </w:tr>
      <w:tr>
        <w:trPr>
          <w:trHeight w:val="216"/>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864"/>
        </w:trPr>
        <w:tc>
          <w:tcPr>
            <w:tcW w:w="3320" w:type="dxa"/>
            <w:vAlign w:val="bottom"/>
          </w:tcPr>
          <w:p>
            <w:pPr>
              <w:spacing w:after="0"/>
              <w:rPr>
                <w:sz w:val="20"/>
                <w:szCs w:val="20"/>
                <w:color w:val="auto"/>
              </w:rPr>
            </w:pPr>
            <w:r>
              <w:rPr>
                <w:rFonts w:ascii="Arial" w:cs="Arial" w:eastAsia="Arial" w:hAnsi="Arial"/>
                <w:sz w:val="18"/>
                <w:szCs w:val="18"/>
                <w:color w:val="auto"/>
              </w:rPr>
              <w:t>Date: May 13, 2016</w:t>
            </w:r>
          </w:p>
        </w:tc>
        <w:tc>
          <w:tcPr>
            <w:tcW w:w="2140" w:type="dxa"/>
            <w:vAlign w:val="bottom"/>
          </w:tcPr>
          <w:p>
            <w:pPr>
              <w:ind w:left="184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/S/ Queena Han</w:t>
            </w:r>
          </w:p>
        </w:tc>
      </w:tr>
      <w:tr>
        <w:trPr>
          <w:trHeight w:val="195"/>
        </w:trPr>
        <w:tc>
          <w:tcPr>
            <w:tcW w:w="3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Queena Han</w:t>
            </w:r>
          </w:p>
        </w:tc>
      </w:tr>
      <w:tr>
        <w:trPr>
          <w:trHeight w:val="216"/>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0"/>
              </w:rPr>
              <w:t>Vice President, Finance and Human Resources, and</w:t>
            </w:r>
          </w:p>
        </w:tc>
      </w:tr>
      <w:tr>
        <w:trPr>
          <w:trHeight w:val="216"/>
        </w:trPr>
        <w:tc>
          <w:tcPr>
            <w:tcW w:w="3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Arial" w:cs="Arial" w:eastAsia="Arial" w:hAnsi="Arial"/>
                <w:sz w:val="18"/>
                <w:szCs w:val="18"/>
                <w:color w:val="auto"/>
                <w:w w:val="94"/>
              </w:rPr>
              <w:t>Secretary (</w:t>
            </w:r>
            <w:r>
              <w:rPr>
                <w:rFonts w:ascii="Arial" w:cs="Arial" w:eastAsia="Arial" w:hAnsi="Arial"/>
                <w:sz w:val="18"/>
                <w:szCs w:val="18"/>
                <w:i w:val="1"/>
                <w:iCs w:val="1"/>
                <w:color w:val="auto"/>
                <w:w w:val="94"/>
              </w:rPr>
              <w:t>Principal Financial Officer and Principal</w:t>
            </w:r>
          </w:p>
        </w:tc>
      </w:tr>
      <w:tr>
        <w:trPr>
          <w:trHeight w:val="230"/>
        </w:trPr>
        <w:tc>
          <w:tcPr>
            <w:tcW w:w="33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Simard,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1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Simard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Queena Han,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XBiotech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300" w:hanging="324"/>
        <w:spacing w:after="0" w:line="264" w:lineRule="auto"/>
        <w:tabs>
          <w:tab w:leader="none" w:pos="9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720" w:hanging="324"/>
        <w:spacing w:after="0" w:line="342" w:lineRule="auto"/>
        <w:tabs>
          <w:tab w:leader="none" w:pos="91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300" w:hanging="324"/>
        <w:spacing w:after="0" w:line="264" w:lineRule="auto"/>
        <w:tabs>
          <w:tab w:leader="none" w:pos="90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200" w:hanging="324"/>
        <w:spacing w:after="0" w:line="308" w:lineRule="auto"/>
        <w:tabs>
          <w:tab w:leader="none" w:pos="901"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180" w:hanging="324"/>
        <w:spacing w:after="0" w:line="277" w:lineRule="auto"/>
        <w:tabs>
          <w:tab w:leader="none" w:pos="91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Queena Han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29" w:name="page30"/>
    <w:bookmarkEnd w:id="2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AND PRINCIPAL FINANCIAL OFFICER PURSUANT TO 18 U.S.C. SECTION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2016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b w:val="1"/>
          <w:bCs w:val="1"/>
          <w:color w:val="auto"/>
        </w:rPr>
        <w:t>JOHN SIMARD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13, 2016</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In connection with the Quarterly Report of XBiotech Inc. on Form 10-Q for the period ended March 31, 2016,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6" w:lineRule="exact"/>
        <w:rPr>
          <w:sz w:val="20"/>
          <w:szCs w:val="20"/>
          <w:color w:val="auto"/>
        </w:rPr>
      </w:pPr>
    </w:p>
    <w:p>
      <w:pPr>
        <w:ind w:left="920" w:hanging="264"/>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44"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 QUEENA HAN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Queena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1697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and Human Resources and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May 13,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decimal"/>
      <w:start w:val="5"/>
    </w:lvl>
  </w:abstractNum>
  <w:abstractNum w:abstractNumId="11">
    <w:nsid w:val="7FDCC233"/>
    <w:multiLevelType w:val="hybridMultilevel"/>
    <w:lvl w:ilvl="0">
      <w:lvlJc w:val="left"/>
      <w:lvlText w:val="%1."/>
      <w:numFmt w:val="decimal"/>
      <w:start w:val="6"/>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2019-12-29T11:33:01Z</dcterms:created>
  <dcterms:modified xsi:type="dcterms:W3CDTF">2019-12-29T11:33:01Z</dcterms:modified>
</cp:coreProperties>
</file>